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74B07" w14:textId="77777777" w:rsidR="008011AF" w:rsidRDefault="00000000">
      <w:pPr>
        <w:adjustRightInd/>
        <w:snapToGrid w:val="0"/>
        <w:spacing w:afterLines="100" w:after="312"/>
        <w:ind w:firstLineChars="0" w:firstLine="0"/>
        <w:rPr>
          <w:rFonts w:ascii="Times New Roman" w:eastAsia="方正小标宋简体" w:hAnsi="Times New Roman" w:cs="方正小标宋简体"/>
          <w:w w:val="90"/>
          <w:sz w:val="44"/>
          <w:szCs w:val="24"/>
        </w:rPr>
      </w:pPr>
      <w:r>
        <w:rPr>
          <w:rFonts w:ascii="黑体" w:eastAsia="黑体" w:hAnsi="黑体" w:cs="Times New Roman" w:hint="eastAsia"/>
          <w:color w:val="000000"/>
          <w:szCs w:val="32"/>
        </w:rPr>
        <w:t>附件1</w:t>
      </w:r>
    </w:p>
    <w:p w14:paraId="65361725" w14:textId="77777777" w:rsidR="008011AF" w:rsidRPr="00DF0ABC" w:rsidRDefault="00000000">
      <w:pPr>
        <w:ind w:firstLineChars="0" w:firstLine="0"/>
        <w:jc w:val="center"/>
        <w:rPr>
          <w:rFonts w:ascii="Times New Roman" w:eastAsia="方正小标宋简体" w:hAnsi="Times New Roman" w:cs="方正小标宋简体"/>
          <w:b/>
          <w:w w:val="90"/>
          <w:sz w:val="44"/>
          <w:szCs w:val="24"/>
        </w:rPr>
      </w:pPr>
      <w:r w:rsidRPr="00DF0ABC">
        <w:rPr>
          <w:rFonts w:ascii="Times New Roman" w:eastAsia="方正小标宋简体" w:hAnsi="Times New Roman" w:cs="方正小标宋简体" w:hint="eastAsia"/>
          <w:b/>
          <w:w w:val="90"/>
          <w:sz w:val="44"/>
          <w:szCs w:val="24"/>
        </w:rPr>
        <w:t>矿山安全风险监测预警处置工作管理办法（试行）</w:t>
      </w:r>
    </w:p>
    <w:p w14:paraId="6722CAD8" w14:textId="77777777" w:rsidR="008011AF" w:rsidRPr="00DF0ABC" w:rsidRDefault="00000000">
      <w:pPr>
        <w:ind w:firstLineChars="0" w:firstLine="0"/>
        <w:jc w:val="center"/>
        <w:rPr>
          <w:rFonts w:ascii="Times New Roman" w:eastAsia="楷体" w:hAnsi="Times New Roman" w:cs="楷体"/>
          <w:b/>
          <w:szCs w:val="24"/>
        </w:rPr>
      </w:pPr>
      <w:r w:rsidRPr="00DF0ABC">
        <w:rPr>
          <w:rFonts w:ascii="Times New Roman" w:eastAsia="楷体" w:hAnsi="Times New Roman" w:cs="楷体" w:hint="eastAsia"/>
          <w:b/>
          <w:szCs w:val="24"/>
        </w:rPr>
        <w:t>（征求意见稿）</w:t>
      </w:r>
    </w:p>
    <w:p w14:paraId="3CCCA998" w14:textId="77777777" w:rsidR="008011AF" w:rsidRDefault="008011AF">
      <w:pPr>
        <w:ind w:firstLine="640"/>
        <w:jc w:val="center"/>
        <w:rPr>
          <w:rFonts w:ascii="Times New Roman" w:eastAsia="楷体" w:hAnsi="Times New Roman" w:cs="楷体"/>
          <w:szCs w:val="24"/>
        </w:rPr>
      </w:pPr>
    </w:p>
    <w:p w14:paraId="1292FFFE" w14:textId="77777777" w:rsidR="008011AF" w:rsidRDefault="00000000">
      <w:pPr>
        <w:numPr>
          <w:ilvl w:val="0"/>
          <w:numId w:val="1"/>
        </w:numPr>
        <w:spacing w:beforeLines="50" w:before="156" w:afterLines="50" w:after="156"/>
        <w:ind w:left="0" w:firstLineChars="0" w:firstLine="0"/>
        <w:jc w:val="center"/>
        <w:outlineLvl w:val="0"/>
        <w:rPr>
          <w:rFonts w:ascii="Times New Roman" w:eastAsia="黑体" w:hAnsi="Times New Roman" w:cs="Calibri"/>
          <w:sz w:val="36"/>
          <w:szCs w:val="24"/>
        </w:rPr>
      </w:pPr>
      <w:r>
        <w:rPr>
          <w:rFonts w:ascii="Times New Roman" w:eastAsia="黑体" w:hAnsi="Times New Roman" w:cs="Calibri" w:hint="eastAsia"/>
          <w:sz w:val="36"/>
          <w:szCs w:val="24"/>
        </w:rPr>
        <w:t xml:space="preserve"> </w:t>
      </w:r>
      <w:r>
        <w:rPr>
          <w:rFonts w:ascii="Times New Roman" w:eastAsia="黑体" w:hAnsi="Times New Roman" w:cs="Calibri" w:hint="eastAsia"/>
          <w:sz w:val="36"/>
          <w:szCs w:val="24"/>
        </w:rPr>
        <w:t>总</w:t>
      </w:r>
      <w:r>
        <w:rPr>
          <w:rFonts w:ascii="Times New Roman" w:eastAsia="黑体" w:hAnsi="Times New Roman" w:cs="Calibri" w:hint="eastAsia"/>
          <w:sz w:val="36"/>
          <w:szCs w:val="24"/>
        </w:rPr>
        <w:t xml:space="preserve"> </w:t>
      </w:r>
      <w:r>
        <w:rPr>
          <w:rFonts w:ascii="Times New Roman" w:eastAsia="黑体" w:hAnsi="Times New Roman" w:cs="Calibri" w:hint="eastAsia"/>
          <w:sz w:val="36"/>
          <w:szCs w:val="24"/>
        </w:rPr>
        <w:t>则</w:t>
      </w:r>
    </w:p>
    <w:p w14:paraId="2C736999" w14:textId="77777777" w:rsidR="008011AF" w:rsidRDefault="00000000">
      <w:pPr>
        <w:numPr>
          <w:ilvl w:val="0"/>
          <w:numId w:val="2"/>
        </w:numPr>
        <w:ind w:left="0" w:firstLine="640"/>
        <w:outlineLvl w:val="1"/>
        <w:rPr>
          <w:rFonts w:ascii="仿宋_GB2312" w:hAnsi="仿宋_GB2312" w:cs="仿宋_GB2312"/>
          <w:szCs w:val="32"/>
        </w:rPr>
      </w:pPr>
      <w:r>
        <w:rPr>
          <w:rFonts w:ascii="仿宋_GB2312" w:hAnsi="仿宋_GB2312" w:cs="仿宋_GB2312" w:hint="eastAsia"/>
          <w:szCs w:val="32"/>
        </w:rPr>
        <w:t>【编制目的】</w:t>
      </w:r>
      <w:bookmarkStart w:id="0" w:name="_Hlk73344836"/>
      <w:r>
        <w:rPr>
          <w:rFonts w:ascii="仿宋_GB2312" w:hAnsi="仿宋_GB2312" w:cs="仿宋_GB2312" w:hint="eastAsia"/>
          <w:szCs w:val="32"/>
        </w:rPr>
        <w:t>为进一步加强和规范矿山安全风险监测预警处置工作，压实矿山及上级企业、矿山安全监管监察部</w:t>
      </w:r>
      <w:proofErr w:type="gramStart"/>
      <w:r>
        <w:rPr>
          <w:rFonts w:ascii="仿宋_GB2312" w:hAnsi="仿宋_GB2312" w:cs="仿宋_GB2312" w:hint="eastAsia"/>
          <w:szCs w:val="32"/>
        </w:rPr>
        <w:t>门风险</w:t>
      </w:r>
      <w:proofErr w:type="gramEnd"/>
      <w:r>
        <w:rPr>
          <w:rFonts w:ascii="仿宋_GB2312" w:hAnsi="仿宋_GB2312" w:cs="仿宋_GB2312" w:hint="eastAsia"/>
          <w:szCs w:val="32"/>
        </w:rPr>
        <w:t>监测预警工作职责，构建科学、规范、有效的预警处置工作体系，更好发挥矿山安全风险监测预警系统对风险早期识别和应急处置工作的支撑作用，推动矿山安全治理模式向事前预防转型，有效防范遏制矿山重特大生产安全事故，根据《中华人民共和国安全生产法》《中共中央办公厅</w:t>
      </w:r>
      <w:r>
        <w:rPr>
          <w:rFonts w:ascii="仿宋_GB2312" w:hAnsi="仿宋_GB2312" w:cs="仿宋_GB2312"/>
          <w:szCs w:val="32"/>
        </w:rPr>
        <w:t> 国务院办公厅关于进一步加强矿山安全生产工作的意见</w:t>
      </w:r>
      <w:r>
        <w:rPr>
          <w:rFonts w:ascii="仿宋_GB2312" w:hAnsi="仿宋_GB2312" w:cs="仿宋_GB2312" w:hint="eastAsia"/>
          <w:szCs w:val="32"/>
        </w:rPr>
        <w:t>》和其他有关法律法规，制定本办法</w:t>
      </w:r>
      <w:bookmarkEnd w:id="0"/>
      <w:r>
        <w:rPr>
          <w:rFonts w:ascii="仿宋_GB2312" w:hAnsi="仿宋_GB2312" w:cs="仿宋_GB2312" w:hint="eastAsia"/>
          <w:szCs w:val="32"/>
        </w:rPr>
        <w:t>。</w:t>
      </w:r>
    </w:p>
    <w:p w14:paraId="62A6E081" w14:textId="77777777" w:rsidR="008011AF" w:rsidRDefault="00000000">
      <w:pPr>
        <w:numPr>
          <w:ilvl w:val="0"/>
          <w:numId w:val="2"/>
        </w:numPr>
        <w:ind w:left="0" w:firstLine="640"/>
        <w:outlineLvl w:val="1"/>
        <w:rPr>
          <w:rFonts w:ascii="仿宋_GB2312" w:hAnsi="仿宋_GB2312" w:cs="仿宋_GB2312"/>
          <w:szCs w:val="32"/>
        </w:rPr>
      </w:pPr>
      <w:r>
        <w:rPr>
          <w:rFonts w:ascii="仿宋_GB2312" w:hAnsi="仿宋_GB2312" w:cs="仿宋_GB2312" w:hint="eastAsia"/>
          <w:szCs w:val="32"/>
        </w:rPr>
        <w:t>【适用范围】各级矿山安全监管监察部门、矿山及上级企业利用国家矿山安全风险监测预警系统或其他信息系统开展的风险监测、分析</w:t>
      </w:r>
      <w:proofErr w:type="gramStart"/>
      <w:r>
        <w:rPr>
          <w:rFonts w:ascii="仿宋_GB2312" w:hAnsi="仿宋_GB2312" w:cs="仿宋_GB2312" w:hint="eastAsia"/>
          <w:szCs w:val="32"/>
        </w:rPr>
        <w:t>研</w:t>
      </w:r>
      <w:proofErr w:type="gramEnd"/>
      <w:r>
        <w:rPr>
          <w:rFonts w:ascii="仿宋_GB2312" w:hAnsi="仿宋_GB2312" w:cs="仿宋_GB2312" w:hint="eastAsia"/>
          <w:szCs w:val="32"/>
        </w:rPr>
        <w:t>判、预警处置、核查反馈等工作，适用本办法。</w:t>
      </w:r>
    </w:p>
    <w:p w14:paraId="36FFB178" w14:textId="77777777" w:rsidR="008011AF" w:rsidRDefault="00000000">
      <w:pPr>
        <w:ind w:firstLine="640"/>
        <w:rPr>
          <w:rFonts w:ascii="仿宋_GB2312" w:hAnsi="仿宋_GB2312" w:cs="仿宋_GB2312"/>
          <w:szCs w:val="32"/>
        </w:rPr>
      </w:pPr>
      <w:r>
        <w:rPr>
          <w:rFonts w:ascii="仿宋_GB2312" w:hAnsi="仿宋_GB2312" w:cs="仿宋_GB2312" w:hint="eastAsia"/>
          <w:szCs w:val="32"/>
        </w:rPr>
        <w:t>本办法所称的国家矿山安全风险监测预警系统（以下简称监测预警系统）是指国家矿山安全监察局组织建设的，面向各级矿山安全监管监察部门和矿山及上级企业使用的，用于开展风险监测预警工作</w:t>
      </w:r>
      <w:r>
        <w:rPr>
          <w:rFonts w:ascii="Times New Roman" w:hAnsi="Times New Roman" w:cs="Calibri" w:hint="eastAsia"/>
          <w:szCs w:val="32"/>
        </w:rPr>
        <w:t>的信息化系统</w:t>
      </w:r>
      <w:r>
        <w:rPr>
          <w:rFonts w:ascii="仿宋_GB2312" w:hAnsi="仿宋_GB2312" w:cs="仿宋_GB2312" w:hint="eastAsia"/>
          <w:szCs w:val="32"/>
        </w:rPr>
        <w:t>。</w:t>
      </w:r>
    </w:p>
    <w:p w14:paraId="0A48250F" w14:textId="4BBF45BC" w:rsidR="008011AF" w:rsidRDefault="00000000">
      <w:pPr>
        <w:numPr>
          <w:ilvl w:val="0"/>
          <w:numId w:val="2"/>
        </w:numPr>
        <w:ind w:left="0" w:firstLine="640"/>
        <w:outlineLvl w:val="1"/>
        <w:rPr>
          <w:rFonts w:ascii="仿宋_GB2312" w:hAnsi="仿宋_GB2312" w:cs="仿宋_GB2312"/>
          <w:szCs w:val="32"/>
        </w:rPr>
      </w:pPr>
      <w:r>
        <w:rPr>
          <w:rFonts w:ascii="仿宋_GB2312" w:hAnsi="仿宋_GB2312" w:cs="仿宋_GB2312" w:hint="eastAsia"/>
          <w:szCs w:val="32"/>
        </w:rPr>
        <w:lastRenderedPageBreak/>
        <w:t>【预警分级】风险预警信息是指监测预警系统对矿山生产建设过程中各类风险监测指标进行监测、识别分析后发出的报警信息。按照报警类型、严重程度、报警时长等因素，将预警信息从高到低划分为红色预警、橙色预警、黄色预警、蓝色预警四个级别。</w:t>
      </w:r>
    </w:p>
    <w:p w14:paraId="0CC26979" w14:textId="77777777" w:rsidR="008011AF" w:rsidRDefault="00000000">
      <w:pPr>
        <w:ind w:firstLine="640"/>
        <w:rPr>
          <w:rFonts w:ascii="仿宋_GB2312" w:hAnsi="仿宋_GB2312" w:cs="仿宋_GB2312"/>
          <w:szCs w:val="24"/>
        </w:rPr>
      </w:pPr>
      <w:r>
        <w:rPr>
          <w:rFonts w:ascii="仿宋_GB2312" w:hAnsi="仿宋_GB2312" w:cs="仿宋_GB2312" w:hint="eastAsia"/>
          <w:szCs w:val="32"/>
        </w:rPr>
        <w:t>风险预警信息的分级标准由国家矿山安全监察局提出并适时更新完善（详见附录）。国家矿山安全监察局未明确标准的，省级矿山安全监管监察部门可根据辖区实际情况科学合理制定。</w:t>
      </w:r>
      <w:r>
        <w:rPr>
          <w:rFonts w:ascii="仿宋_GB2312" w:hAnsi="仿宋_GB2312" w:cs="仿宋_GB2312" w:hint="eastAsia"/>
          <w:szCs w:val="24"/>
        </w:rPr>
        <w:t>法律法规另有规定的，从其规定。</w:t>
      </w:r>
    </w:p>
    <w:p w14:paraId="19550334" w14:textId="77777777" w:rsidR="008011AF" w:rsidRDefault="00000000">
      <w:pPr>
        <w:numPr>
          <w:ilvl w:val="0"/>
          <w:numId w:val="2"/>
        </w:numPr>
        <w:ind w:left="0" w:firstLine="640"/>
        <w:outlineLvl w:val="1"/>
        <w:rPr>
          <w:rFonts w:ascii="仿宋_GB2312" w:hAnsi="仿宋_GB2312" w:cs="仿宋_GB2312"/>
          <w:b/>
          <w:bCs/>
          <w:sz w:val="30"/>
          <w:szCs w:val="30"/>
        </w:rPr>
      </w:pPr>
      <w:r>
        <w:rPr>
          <w:rFonts w:ascii="仿宋_GB2312" w:hAnsi="仿宋_GB2312" w:cs="仿宋_GB2312" w:hint="eastAsia"/>
          <w:szCs w:val="32"/>
        </w:rPr>
        <w:t>【总体机制】矿山安全风险监测预警处置工作遵循“分级响应、分工协作、及时处置、闭环管理”的原则，坚持以矿山及上级企业为主体、监管监察部门各负其责。</w:t>
      </w:r>
    </w:p>
    <w:p w14:paraId="6D6896DD" w14:textId="03E30934" w:rsidR="008011AF" w:rsidRDefault="00000000">
      <w:pPr>
        <w:numPr>
          <w:ilvl w:val="0"/>
          <w:numId w:val="2"/>
        </w:numPr>
        <w:ind w:left="0" w:firstLine="640"/>
        <w:outlineLvl w:val="1"/>
        <w:rPr>
          <w:rFonts w:ascii="仿宋_GB2312" w:hAnsi="仿宋_GB2312" w:cs="仿宋_GB2312"/>
          <w:szCs w:val="32"/>
        </w:rPr>
      </w:pPr>
      <w:r>
        <w:rPr>
          <w:rFonts w:ascii="仿宋_GB2312" w:hAnsi="仿宋_GB2312" w:cs="仿宋_GB2312" w:hint="eastAsia"/>
          <w:szCs w:val="32"/>
        </w:rPr>
        <w:t>【国家局职责】国家矿山安全监察局组织建立矿山安全风险监测预警体系，制修订相关标准规范，建设、完善和维护监测预警系统；安排专门机构和人员加强值班值守，发现红色预警未及时处置的，督促省级矿山安全监管监察部门跟踪核查；对红色预警定期进行分析</w:t>
      </w:r>
      <w:proofErr w:type="gramStart"/>
      <w:r>
        <w:rPr>
          <w:rFonts w:ascii="仿宋_GB2312" w:hAnsi="仿宋_GB2312" w:cs="仿宋_GB2312" w:hint="eastAsia"/>
          <w:szCs w:val="32"/>
        </w:rPr>
        <w:t>研</w:t>
      </w:r>
      <w:proofErr w:type="gramEnd"/>
      <w:r>
        <w:rPr>
          <w:rFonts w:ascii="仿宋_GB2312" w:hAnsi="仿宋_GB2312" w:cs="仿宋_GB2312" w:hint="eastAsia"/>
          <w:szCs w:val="32"/>
        </w:rPr>
        <w:t>判和通报，对各省风险监测预警处置工作进行督导检查。</w:t>
      </w:r>
    </w:p>
    <w:p w14:paraId="6070863B" w14:textId="5E2A9EB0" w:rsidR="008011AF" w:rsidRDefault="00000000">
      <w:pPr>
        <w:numPr>
          <w:ilvl w:val="0"/>
          <w:numId w:val="2"/>
        </w:numPr>
        <w:ind w:left="0" w:firstLine="640"/>
        <w:outlineLvl w:val="1"/>
        <w:rPr>
          <w:rFonts w:ascii="仿宋_GB2312" w:hAnsi="仿宋_GB2312" w:cs="仿宋_GB2312"/>
          <w:szCs w:val="32"/>
        </w:rPr>
      </w:pPr>
      <w:bookmarkStart w:id="1" w:name="_Hlk166312450"/>
      <w:r>
        <w:rPr>
          <w:rFonts w:ascii="仿宋_GB2312" w:hAnsi="仿宋_GB2312" w:cs="仿宋_GB2312" w:hint="eastAsia"/>
          <w:szCs w:val="32"/>
        </w:rPr>
        <w:t>【省级监管监察部门职责】</w:t>
      </w:r>
      <w:r>
        <w:rPr>
          <w:rFonts w:ascii="黑体" w:eastAsia="黑体" w:hAnsi="黑体" w:cs="仿宋_GB2312" w:hint="eastAsia"/>
          <w:szCs w:val="32"/>
        </w:rPr>
        <w:t>省级煤矿安全风险监测预警处置工作</w:t>
      </w:r>
      <w:r>
        <w:rPr>
          <w:rFonts w:ascii="仿宋_GB2312" w:hAnsi="仿宋_GB2312" w:cs="仿宋_GB2312" w:hint="eastAsia"/>
          <w:szCs w:val="32"/>
        </w:rPr>
        <w:t>，由国家矿山安全监察局省级局牵头，省级煤矿安全监管部门共同参与。制定本辖区煤矿安全风险监测预警处置工作实施细则，明确国家矿山安全监察局省级局、辖区各级煤矿安全监管部门、煤矿及上级企业的职责分工和分级响应工作机制，完善本辖区煤矿风险预警信息的分级标准。安排专门机构和人员加强值班值守，指导督促下级煤矿安全监管部门、煤矿及上级企业开展安全风险监测预警处置工作，组织核查煤矿红色预警，明确各类风险预警信息的预警处置、核查反馈等责任主体。</w:t>
      </w:r>
    </w:p>
    <w:bookmarkEnd w:id="1"/>
    <w:p w14:paraId="57DA7FA4" w14:textId="0BE81DF0" w:rsidR="008011AF" w:rsidRDefault="00000000">
      <w:pPr>
        <w:ind w:firstLine="640"/>
        <w:rPr>
          <w:rFonts w:ascii="仿宋_GB2312" w:hAnsi="仿宋_GB2312" w:cs="仿宋_GB2312"/>
          <w:szCs w:val="32"/>
        </w:rPr>
      </w:pPr>
      <w:r>
        <w:rPr>
          <w:rFonts w:ascii="黑体" w:eastAsia="黑体" w:hAnsi="黑体" w:cs="仿宋_GB2312" w:hint="eastAsia"/>
          <w:szCs w:val="32"/>
        </w:rPr>
        <w:t>省级非煤矿山安全风险监测预警处置工作</w:t>
      </w:r>
      <w:r>
        <w:rPr>
          <w:rFonts w:ascii="仿宋_GB2312" w:hAnsi="仿宋_GB2312" w:cs="仿宋_GB2312" w:hint="eastAsia"/>
          <w:szCs w:val="32"/>
        </w:rPr>
        <w:t>，由省级非煤矿山安全监管部门牵头，国家矿山安全监察局省级局共同参与。制定本辖区非煤矿山安全风险监测预警处置工作实施细则，明确辖区各级非煤矿山安全监管部门、国家矿山安全监察局省级局、非煤矿山及上级企业的职责分工和分级响应工作机制，完善本辖区非煤矿</w:t>
      </w:r>
      <w:proofErr w:type="gramStart"/>
      <w:r>
        <w:rPr>
          <w:rFonts w:ascii="仿宋_GB2312" w:hAnsi="仿宋_GB2312" w:cs="仿宋_GB2312" w:hint="eastAsia"/>
          <w:szCs w:val="32"/>
        </w:rPr>
        <w:t>山风险</w:t>
      </w:r>
      <w:proofErr w:type="gramEnd"/>
      <w:r>
        <w:rPr>
          <w:rFonts w:ascii="仿宋_GB2312" w:hAnsi="仿宋_GB2312" w:cs="仿宋_GB2312" w:hint="eastAsia"/>
          <w:szCs w:val="32"/>
        </w:rPr>
        <w:t>预警信息的分级标准。安排专门机构和人员加强值班值守，指导督促下级非煤矿山安全监管部门、非煤矿山及上级企业开展安全风险监测预警处置工作，组织</w:t>
      </w:r>
      <w:proofErr w:type="gramStart"/>
      <w:r>
        <w:rPr>
          <w:rFonts w:ascii="仿宋_GB2312" w:hAnsi="仿宋_GB2312" w:cs="仿宋_GB2312" w:hint="eastAsia"/>
          <w:szCs w:val="32"/>
        </w:rPr>
        <w:t>核查非</w:t>
      </w:r>
      <w:proofErr w:type="gramEnd"/>
      <w:r>
        <w:rPr>
          <w:rFonts w:ascii="仿宋_GB2312" w:hAnsi="仿宋_GB2312" w:cs="仿宋_GB2312" w:hint="eastAsia"/>
          <w:szCs w:val="32"/>
        </w:rPr>
        <w:t xml:space="preserve">煤矿山红色预警，明确各类风险预警信息的预警处置、核查反馈等责任主体。 </w:t>
      </w:r>
    </w:p>
    <w:p w14:paraId="745F9A3B" w14:textId="77777777" w:rsidR="008011AF" w:rsidRDefault="00000000">
      <w:pPr>
        <w:ind w:firstLine="640"/>
        <w:rPr>
          <w:rFonts w:ascii="仿宋_GB2312" w:hAnsi="仿宋_GB2312" w:cs="仿宋_GB2312"/>
          <w:szCs w:val="32"/>
        </w:rPr>
      </w:pPr>
      <w:bookmarkStart w:id="2" w:name="_Hlk166313168"/>
      <w:r>
        <w:rPr>
          <w:rFonts w:ascii="仿宋_GB2312" w:hAnsi="仿宋_GB2312" w:cs="仿宋_GB2312" w:hint="eastAsia"/>
          <w:szCs w:val="32"/>
        </w:rPr>
        <w:t>省级矿山安全监管监察部门之间要加强沟通协作，实现系统共用、数据共享。监管监察部门预警处置不替代矿山及其上级企业履行安全生产主体责任。</w:t>
      </w:r>
    </w:p>
    <w:bookmarkEnd w:id="2"/>
    <w:p w14:paraId="12ACB99B" w14:textId="4A37560D" w:rsidR="008011AF" w:rsidRDefault="00000000">
      <w:pPr>
        <w:numPr>
          <w:ilvl w:val="0"/>
          <w:numId w:val="2"/>
        </w:numPr>
        <w:ind w:left="0" w:firstLine="643"/>
        <w:outlineLvl w:val="1"/>
        <w:rPr>
          <w:rFonts w:ascii="仿宋_GB2312" w:hAnsi="仿宋_GB2312" w:cs="仿宋_GB2312"/>
          <w:szCs w:val="32"/>
        </w:rPr>
      </w:pPr>
      <w:r>
        <w:rPr>
          <w:rFonts w:ascii="仿宋_GB2312" w:hAnsi="仿宋_GB2312" w:cs="仿宋_GB2312" w:hint="eastAsia"/>
          <w:b/>
          <w:bCs/>
          <w:szCs w:val="32"/>
        </w:rPr>
        <w:t>【</w:t>
      </w:r>
      <w:r>
        <w:rPr>
          <w:rFonts w:ascii="仿宋_GB2312" w:hAnsi="仿宋_GB2312" w:cs="仿宋_GB2312" w:hint="eastAsia"/>
          <w:szCs w:val="32"/>
        </w:rPr>
        <w:t>矿山及上级企业职责</w:t>
      </w:r>
      <w:r>
        <w:rPr>
          <w:rFonts w:ascii="仿宋_GB2312" w:hAnsi="仿宋_GB2312" w:cs="仿宋_GB2312" w:hint="eastAsia"/>
          <w:b/>
          <w:bCs/>
          <w:szCs w:val="32"/>
        </w:rPr>
        <w:t>】</w:t>
      </w:r>
      <w:r>
        <w:rPr>
          <w:rFonts w:ascii="仿宋_GB2312" w:hAnsi="仿宋_GB2312" w:cs="仿宋_GB2312" w:hint="eastAsia"/>
          <w:szCs w:val="32"/>
        </w:rPr>
        <w:t>矿山应当制定完善“监测预警－响应处置－核查反馈”闭环处置制度，明确风险监测预警处置机构、人员及职责，及时查看、处置、反馈风险预警信息。应当按照相关标准规范建设完善各类安全监测监控系统并上传数据。应在国家矿山安全监察局建设的矿山安全生产综合信息系统中填报、更新矿山主要负责人和实际控制人、调度室电话、从业人员、矿井图纸、采掘工作面等信息，确保数据及时、真实、完整。</w:t>
      </w:r>
    </w:p>
    <w:p w14:paraId="07591FA4" w14:textId="6A119B1F" w:rsidR="008011AF" w:rsidRDefault="00000000">
      <w:pPr>
        <w:ind w:firstLine="640"/>
        <w:rPr>
          <w:rFonts w:ascii="仿宋_GB2312" w:hAnsi="仿宋_GB2312" w:cs="仿宋_GB2312"/>
          <w:szCs w:val="32"/>
        </w:rPr>
      </w:pPr>
      <w:r>
        <w:rPr>
          <w:rFonts w:ascii="仿宋_GB2312" w:hAnsi="仿宋_GB2312" w:cs="仿宋_GB2312" w:hint="eastAsia"/>
          <w:szCs w:val="32"/>
        </w:rPr>
        <w:t>矿山上级企业应当明确管理机构、人员及职责，制定完善风险监测预警处置和分析</w:t>
      </w:r>
      <w:proofErr w:type="gramStart"/>
      <w:r>
        <w:rPr>
          <w:rFonts w:ascii="仿宋_GB2312" w:hAnsi="仿宋_GB2312" w:cs="仿宋_GB2312" w:hint="eastAsia"/>
          <w:szCs w:val="32"/>
        </w:rPr>
        <w:t>研</w:t>
      </w:r>
      <w:proofErr w:type="gramEnd"/>
      <w:r>
        <w:rPr>
          <w:rFonts w:ascii="仿宋_GB2312" w:hAnsi="仿宋_GB2312" w:cs="仿宋_GB2312" w:hint="eastAsia"/>
          <w:szCs w:val="32"/>
        </w:rPr>
        <w:t>判制度，加强对所属矿山安全风险监测预警处置工作的指导、督促、检查和考核。</w:t>
      </w:r>
      <w:r>
        <w:rPr>
          <w:rFonts w:ascii="仿宋_GB2312" w:hAnsi="仿宋_GB2312" w:cs="仿宋_GB2312" w:hint="eastAsia"/>
          <w:szCs w:val="24"/>
        </w:rPr>
        <w:t>实时掌握所属矿山的安全风险监测预警工作情况，</w:t>
      </w:r>
      <w:r>
        <w:rPr>
          <w:rFonts w:ascii="仿宋_GB2312" w:hAnsi="仿宋_GB2312" w:cs="仿宋_GB2312" w:hint="eastAsia"/>
          <w:szCs w:val="32"/>
        </w:rPr>
        <w:t>组织所属矿山及时核查处置风险预警信息并反馈。定期对所属矿山的风险预警信息进行分析</w:t>
      </w:r>
      <w:proofErr w:type="gramStart"/>
      <w:r>
        <w:rPr>
          <w:rFonts w:ascii="仿宋_GB2312" w:hAnsi="仿宋_GB2312" w:cs="仿宋_GB2312" w:hint="eastAsia"/>
          <w:szCs w:val="32"/>
        </w:rPr>
        <w:t>研</w:t>
      </w:r>
      <w:proofErr w:type="gramEnd"/>
      <w:r>
        <w:rPr>
          <w:rFonts w:ascii="仿宋_GB2312" w:hAnsi="仿宋_GB2312" w:cs="仿宋_GB2312" w:hint="eastAsia"/>
          <w:szCs w:val="32"/>
        </w:rPr>
        <w:t>判，提出措施要求。</w:t>
      </w:r>
    </w:p>
    <w:p w14:paraId="011F9021" w14:textId="77777777" w:rsidR="008011AF" w:rsidRDefault="00000000">
      <w:pPr>
        <w:numPr>
          <w:ilvl w:val="0"/>
          <w:numId w:val="1"/>
        </w:numPr>
        <w:spacing w:beforeLines="50" w:before="156" w:afterLines="50" w:after="156"/>
        <w:ind w:left="0" w:firstLineChars="0" w:firstLine="0"/>
        <w:jc w:val="center"/>
        <w:outlineLvl w:val="0"/>
        <w:rPr>
          <w:rFonts w:ascii="Times New Roman" w:eastAsia="黑体" w:hAnsi="Times New Roman" w:cs="Calibri"/>
          <w:sz w:val="36"/>
          <w:szCs w:val="24"/>
        </w:rPr>
      </w:pPr>
      <w:r>
        <w:rPr>
          <w:rFonts w:ascii="仿宋_GB2312" w:hAnsi="仿宋_GB2312" w:cs="仿宋_GB2312" w:hint="eastAsia"/>
          <w:szCs w:val="32"/>
        </w:rPr>
        <w:t xml:space="preserve"> </w:t>
      </w:r>
      <w:r>
        <w:rPr>
          <w:rFonts w:ascii="Times New Roman" w:eastAsia="黑体" w:hAnsi="Times New Roman" w:cs="Calibri" w:hint="eastAsia"/>
          <w:sz w:val="36"/>
          <w:szCs w:val="24"/>
        </w:rPr>
        <w:t>风险监测</w:t>
      </w:r>
    </w:p>
    <w:p w14:paraId="32E8E249" w14:textId="7AA09266" w:rsidR="008011AF" w:rsidRDefault="00000000">
      <w:pPr>
        <w:numPr>
          <w:ilvl w:val="0"/>
          <w:numId w:val="2"/>
        </w:numPr>
        <w:ind w:left="0" w:firstLine="640"/>
        <w:outlineLvl w:val="1"/>
        <w:rPr>
          <w:rFonts w:ascii="仿宋_GB2312" w:hAnsi="仿宋_GB2312" w:cs="仿宋_GB2312"/>
          <w:szCs w:val="32"/>
        </w:rPr>
      </w:pPr>
      <w:r>
        <w:rPr>
          <w:rFonts w:ascii="仿宋_GB2312" w:hAnsi="仿宋_GB2312" w:cs="仿宋_GB2312" w:hint="eastAsia"/>
          <w:szCs w:val="32"/>
        </w:rPr>
        <w:t>【矿山及上级企业监测内容】矿山及上级企业应保持监测预警系统24小时在线并有专人值守，保证系统声光报警、数据上传等功能运行正常。应当做到：</w:t>
      </w:r>
    </w:p>
    <w:p w14:paraId="2B3DC903" w14:textId="6A51CE3D" w:rsidR="008011AF" w:rsidRDefault="00000000">
      <w:pPr>
        <w:numPr>
          <w:ilvl w:val="0"/>
          <w:numId w:val="3"/>
        </w:numPr>
        <w:ind w:firstLine="640"/>
        <w:rPr>
          <w:rFonts w:ascii="仿宋_GB2312" w:hAnsi="仿宋_GB2312" w:cs="仿宋_GB2312"/>
          <w:szCs w:val="32"/>
        </w:rPr>
      </w:pPr>
      <w:r>
        <w:rPr>
          <w:rFonts w:ascii="仿宋_GB2312" w:hAnsi="仿宋_GB2312" w:cs="仿宋_GB2312" w:hint="eastAsia"/>
          <w:szCs w:val="32"/>
        </w:rPr>
        <w:t>各类风险预警信息及时处置、反馈；</w:t>
      </w:r>
    </w:p>
    <w:p w14:paraId="7C5549CC" w14:textId="77777777" w:rsidR="008011AF" w:rsidRDefault="00000000">
      <w:pPr>
        <w:numPr>
          <w:ilvl w:val="0"/>
          <w:numId w:val="3"/>
        </w:numPr>
        <w:ind w:firstLine="640"/>
        <w:rPr>
          <w:rFonts w:ascii="仿宋_GB2312" w:hAnsi="仿宋_GB2312" w:cs="仿宋_GB2312"/>
          <w:szCs w:val="32"/>
        </w:rPr>
      </w:pPr>
      <w:r>
        <w:rPr>
          <w:rFonts w:ascii="仿宋_GB2312" w:hAnsi="仿宋_GB2312" w:cs="仿宋_GB2312" w:hint="eastAsia"/>
          <w:szCs w:val="32"/>
        </w:rPr>
        <w:t>各类系统正常联网，故障及时修复；</w:t>
      </w:r>
    </w:p>
    <w:p w14:paraId="6EFD0729" w14:textId="77777777" w:rsidR="008011AF" w:rsidRDefault="00000000">
      <w:pPr>
        <w:numPr>
          <w:ilvl w:val="0"/>
          <w:numId w:val="3"/>
        </w:numPr>
        <w:ind w:firstLine="640"/>
        <w:rPr>
          <w:rFonts w:ascii="仿宋_GB2312" w:hAnsi="仿宋_GB2312" w:cs="仿宋_GB2312"/>
          <w:szCs w:val="32"/>
        </w:rPr>
      </w:pPr>
      <w:r>
        <w:rPr>
          <w:rFonts w:ascii="仿宋_GB2312" w:hAnsi="仿宋_GB2312" w:cs="仿宋_GB2312" w:hint="eastAsia"/>
          <w:szCs w:val="32"/>
        </w:rPr>
        <w:t>填写的基础信息、上传的各类感知数据必须</w:t>
      </w:r>
      <w:proofErr w:type="gramStart"/>
      <w:r>
        <w:rPr>
          <w:rFonts w:ascii="仿宋_GB2312" w:hAnsi="仿宋_GB2312" w:cs="仿宋_GB2312" w:hint="eastAsia"/>
          <w:szCs w:val="32"/>
        </w:rPr>
        <w:t>与矿端实际情况</w:t>
      </w:r>
      <w:proofErr w:type="gramEnd"/>
      <w:r>
        <w:rPr>
          <w:rFonts w:ascii="仿宋_GB2312" w:hAnsi="仿宋_GB2312" w:cs="仿宋_GB2312" w:hint="eastAsia"/>
          <w:szCs w:val="32"/>
        </w:rPr>
        <w:t>保持一致，数据及时、真实、准确、完整；</w:t>
      </w:r>
    </w:p>
    <w:p w14:paraId="7C08B5A3" w14:textId="5F61D964" w:rsidR="008011AF" w:rsidRDefault="00000000">
      <w:pPr>
        <w:numPr>
          <w:ilvl w:val="0"/>
          <w:numId w:val="3"/>
        </w:numPr>
        <w:ind w:firstLine="640"/>
        <w:rPr>
          <w:rFonts w:ascii="仿宋_GB2312" w:hAnsi="仿宋_GB2312" w:cs="仿宋_GB2312"/>
          <w:szCs w:val="32"/>
        </w:rPr>
      </w:pPr>
      <w:r>
        <w:rPr>
          <w:rFonts w:ascii="仿宋_GB2312" w:hAnsi="仿宋_GB2312" w:cs="仿宋_GB2312" w:hint="eastAsia"/>
          <w:szCs w:val="32"/>
        </w:rPr>
        <w:t>上传的各类数据质量符合有关标准规范要求；</w:t>
      </w:r>
    </w:p>
    <w:p w14:paraId="752D3741" w14:textId="22F5C901" w:rsidR="008011AF" w:rsidRDefault="00000000">
      <w:pPr>
        <w:numPr>
          <w:ilvl w:val="0"/>
          <w:numId w:val="3"/>
        </w:numPr>
        <w:ind w:firstLine="640"/>
        <w:rPr>
          <w:rFonts w:ascii="仿宋_GB2312" w:hAnsi="仿宋_GB2312" w:cs="仿宋_GB2312"/>
          <w:szCs w:val="32"/>
        </w:rPr>
      </w:pPr>
      <w:r>
        <w:rPr>
          <w:rFonts w:ascii="仿宋_GB2312" w:hAnsi="仿宋_GB2312" w:cs="仿宋_GB2312" w:hint="eastAsia"/>
          <w:szCs w:val="32"/>
        </w:rPr>
        <w:t>完成矿山安全监管监察部门的其他监测预警工作要求。</w:t>
      </w:r>
    </w:p>
    <w:p w14:paraId="62ADC15B" w14:textId="38BAF544" w:rsidR="008011AF" w:rsidRDefault="00000000">
      <w:pPr>
        <w:numPr>
          <w:ilvl w:val="0"/>
          <w:numId w:val="2"/>
        </w:numPr>
        <w:ind w:left="0" w:firstLine="640"/>
        <w:outlineLvl w:val="1"/>
        <w:rPr>
          <w:rFonts w:ascii="仿宋_GB2312" w:hAnsi="仿宋_GB2312" w:cs="仿宋_GB2312"/>
          <w:szCs w:val="32"/>
        </w:rPr>
      </w:pPr>
      <w:r>
        <w:rPr>
          <w:rFonts w:ascii="仿宋_GB2312" w:hAnsi="仿宋_GB2312" w:cs="仿宋_GB2312" w:hint="eastAsia"/>
          <w:szCs w:val="32"/>
        </w:rPr>
        <w:t xml:space="preserve">【监管监察部门监测内容】各级矿山安全监管监察部门应当保持监测预警系统24小时在线运行并有专人值守，系统声光报警功能正常。重点监测： </w:t>
      </w:r>
    </w:p>
    <w:p w14:paraId="3EDFACEE" w14:textId="77600A44" w:rsidR="008011AF" w:rsidRDefault="00000000">
      <w:pPr>
        <w:numPr>
          <w:ilvl w:val="0"/>
          <w:numId w:val="4"/>
        </w:numPr>
        <w:ind w:firstLine="640"/>
        <w:rPr>
          <w:rFonts w:ascii="仿宋_GB2312" w:hAnsi="仿宋_GB2312" w:cs="仿宋_GB2312"/>
          <w:szCs w:val="32"/>
        </w:rPr>
      </w:pPr>
      <w:r>
        <w:rPr>
          <w:rFonts w:ascii="仿宋_GB2312" w:hAnsi="仿宋_GB2312" w:cs="仿宋_GB2312" w:hint="eastAsia"/>
          <w:szCs w:val="32"/>
        </w:rPr>
        <w:t>矿山及其上级企业对各类风险预警信息处置、反馈情况；</w:t>
      </w:r>
    </w:p>
    <w:p w14:paraId="25F9FD61" w14:textId="77777777" w:rsidR="008011AF" w:rsidRDefault="00000000">
      <w:pPr>
        <w:numPr>
          <w:ilvl w:val="0"/>
          <w:numId w:val="4"/>
        </w:numPr>
        <w:ind w:firstLine="640"/>
        <w:rPr>
          <w:rFonts w:ascii="仿宋_GB2312" w:hAnsi="仿宋_GB2312" w:cs="仿宋_GB2312"/>
          <w:szCs w:val="32"/>
        </w:rPr>
      </w:pPr>
      <w:r>
        <w:rPr>
          <w:rFonts w:ascii="仿宋_GB2312" w:hAnsi="仿宋_GB2312" w:cs="仿宋_GB2312" w:hint="eastAsia"/>
          <w:szCs w:val="32"/>
        </w:rPr>
        <w:t>辖区内矿山联网状态；</w:t>
      </w:r>
    </w:p>
    <w:p w14:paraId="027A40B1" w14:textId="039499BE" w:rsidR="008011AF" w:rsidRDefault="00000000">
      <w:pPr>
        <w:numPr>
          <w:ilvl w:val="0"/>
          <w:numId w:val="4"/>
        </w:numPr>
        <w:ind w:firstLineChars="0" w:firstLine="640"/>
        <w:rPr>
          <w:rFonts w:ascii="仿宋_GB2312" w:hAnsi="仿宋_GB2312" w:cs="仿宋_GB2312"/>
          <w:szCs w:val="32"/>
        </w:rPr>
      </w:pPr>
      <w:r>
        <w:rPr>
          <w:rFonts w:ascii="仿宋_GB2312" w:hAnsi="仿宋_GB2312" w:cs="仿宋_GB2312" w:hint="eastAsia"/>
          <w:szCs w:val="32"/>
        </w:rPr>
        <w:t>矿山及上级企业基础信息填报、监测数据上传的规范性、全面性和及时性；</w:t>
      </w:r>
    </w:p>
    <w:p w14:paraId="27108099" w14:textId="76DAC4CB" w:rsidR="008011AF" w:rsidRDefault="00000000">
      <w:pPr>
        <w:ind w:firstLineChars="0" w:firstLine="640"/>
        <w:rPr>
          <w:rFonts w:ascii="仿宋_GB2312" w:hAnsi="仿宋_GB2312" w:cs="仿宋_GB2312"/>
          <w:szCs w:val="24"/>
        </w:rPr>
      </w:pPr>
      <w:r>
        <w:rPr>
          <w:rFonts w:ascii="仿宋_GB2312" w:hAnsi="仿宋_GB2312" w:cs="仿宋_GB2312" w:hint="eastAsia"/>
          <w:szCs w:val="32"/>
        </w:rPr>
        <w:t>（四）事故多发、报警频发、安全风险较高的矿山。</w:t>
      </w:r>
    </w:p>
    <w:p w14:paraId="3F222D33" w14:textId="1D428BC4" w:rsidR="008011AF" w:rsidRDefault="00000000">
      <w:pPr>
        <w:numPr>
          <w:ilvl w:val="0"/>
          <w:numId w:val="2"/>
        </w:numPr>
        <w:ind w:left="0" w:firstLine="640"/>
        <w:outlineLvl w:val="1"/>
        <w:rPr>
          <w:rFonts w:ascii="仿宋_GB2312" w:hAnsi="仿宋_GB2312" w:cs="仿宋_GB2312"/>
          <w:szCs w:val="32"/>
        </w:rPr>
      </w:pPr>
      <w:r>
        <w:rPr>
          <w:rFonts w:ascii="仿宋_GB2312" w:hAnsi="仿宋_GB2312" w:cs="仿宋_GB2312" w:hint="eastAsia"/>
          <w:szCs w:val="32"/>
        </w:rPr>
        <w:t xml:space="preserve"> 【报备报告】各级矿山安全监管监察部门、矿山及上级企业要加强日常运维保障，确保系统安全稳定运行。矿山因机房有计划停电、设备检修等原因可能导致数据联网上传中断的，以及开展爆破、动火作业、断电试验、传感器标校、监控设备拆除挪移等可能产生报警的，应当提前</w:t>
      </w:r>
      <w:r>
        <w:rPr>
          <w:rFonts w:ascii="仿宋_GB2312" w:hAnsi="仿宋_GB2312" w:cs="仿宋_GB2312"/>
          <w:szCs w:val="32"/>
        </w:rPr>
        <w:t>2小时在监测预警系统中进行报备。发生突发性断电、断网等情况导致数据异常的，</w:t>
      </w:r>
      <w:r>
        <w:rPr>
          <w:rFonts w:ascii="仿宋_GB2312" w:hAnsi="仿宋_GB2312" w:cs="仿宋_GB2312" w:hint="eastAsia"/>
          <w:szCs w:val="32"/>
        </w:rPr>
        <w:t>应当</w:t>
      </w:r>
      <w:r>
        <w:rPr>
          <w:rFonts w:ascii="仿宋_GB2312" w:hAnsi="仿宋_GB2312" w:cs="仿宋_GB2312"/>
          <w:szCs w:val="32"/>
        </w:rPr>
        <w:t>立即组织处理并在1小时内报告。</w:t>
      </w:r>
    </w:p>
    <w:p w14:paraId="1D2CD02D" w14:textId="77777777" w:rsidR="008011AF" w:rsidRDefault="00000000">
      <w:pPr>
        <w:numPr>
          <w:ilvl w:val="0"/>
          <w:numId w:val="1"/>
        </w:numPr>
        <w:spacing w:beforeLines="50" w:before="156" w:afterLines="50" w:after="156"/>
        <w:ind w:left="0" w:firstLineChars="0" w:firstLine="0"/>
        <w:jc w:val="center"/>
        <w:outlineLvl w:val="0"/>
        <w:rPr>
          <w:rFonts w:ascii="黑体" w:eastAsia="黑体" w:hAnsi="黑体" w:cs="仿宋_GB2312"/>
          <w:sz w:val="36"/>
          <w:szCs w:val="36"/>
        </w:rPr>
      </w:pPr>
      <w:r>
        <w:rPr>
          <w:rFonts w:ascii="黑体" w:eastAsia="黑体" w:hAnsi="黑体" w:cs="仿宋_GB2312"/>
          <w:sz w:val="36"/>
          <w:szCs w:val="36"/>
        </w:rPr>
        <w:t xml:space="preserve"> </w:t>
      </w:r>
      <w:r>
        <w:rPr>
          <w:rFonts w:ascii="黑体" w:eastAsia="黑体" w:hAnsi="黑体" w:cs="仿宋_GB2312" w:hint="eastAsia"/>
          <w:sz w:val="36"/>
          <w:szCs w:val="36"/>
        </w:rPr>
        <w:t>响应处置</w:t>
      </w:r>
      <w:r>
        <w:rPr>
          <w:rFonts w:ascii="黑体" w:eastAsia="黑体" w:hAnsi="黑体" w:cs="仿宋_GB2312"/>
          <w:sz w:val="36"/>
          <w:szCs w:val="36"/>
        </w:rPr>
        <w:t xml:space="preserve"> </w:t>
      </w:r>
    </w:p>
    <w:p w14:paraId="5B3B0F3C" w14:textId="092CF88A" w:rsidR="008011AF" w:rsidRDefault="00000000">
      <w:pPr>
        <w:numPr>
          <w:ilvl w:val="0"/>
          <w:numId w:val="2"/>
        </w:numPr>
        <w:ind w:left="0" w:firstLine="640"/>
        <w:outlineLvl w:val="1"/>
        <w:rPr>
          <w:rFonts w:ascii="仿宋_GB2312" w:hAnsi="仿宋_GB2312" w:cs="仿宋_GB2312"/>
          <w:szCs w:val="24"/>
        </w:rPr>
      </w:pPr>
      <w:r>
        <w:rPr>
          <w:rFonts w:ascii="仿宋_GB2312" w:hAnsi="仿宋_GB2312" w:cs="仿宋_GB2312" w:hint="eastAsia"/>
          <w:szCs w:val="24"/>
        </w:rPr>
        <w:t>【矿山及上级企业响应】矿山应当坚持“逢报警、必处置”的原则，快速响应风险预警信息，及时采取处置措施，并于</w:t>
      </w:r>
      <w:r>
        <w:rPr>
          <w:rFonts w:ascii="仿宋_GB2312" w:hAnsi="仿宋_GB2312" w:cs="仿宋_GB2312"/>
          <w:szCs w:val="24"/>
        </w:rPr>
        <w:t>1小时内填报初步分析</w:t>
      </w:r>
      <w:r>
        <w:rPr>
          <w:rFonts w:ascii="仿宋_GB2312" w:hAnsi="仿宋_GB2312" w:cs="仿宋_GB2312" w:hint="eastAsia"/>
          <w:szCs w:val="24"/>
        </w:rPr>
        <w:t>风险预警信息产生</w:t>
      </w:r>
      <w:r>
        <w:rPr>
          <w:rFonts w:ascii="仿宋_GB2312" w:hAnsi="仿宋_GB2312" w:cs="仿宋_GB2312"/>
          <w:szCs w:val="24"/>
        </w:rPr>
        <w:t>原因、处置措施等情况，4小时内根据实际情况续报。</w:t>
      </w:r>
      <w:r>
        <w:rPr>
          <w:rFonts w:ascii="仿宋_GB2312" w:hAnsi="仿宋_GB2312" w:cs="仿宋_GB2312" w:hint="eastAsia"/>
          <w:szCs w:val="32"/>
        </w:rPr>
        <w:t>出现</w:t>
      </w:r>
      <w:r>
        <w:rPr>
          <w:rFonts w:ascii="仿宋_GB2312" w:hAnsi="仿宋_GB2312" w:cs="仿宋_GB2312"/>
          <w:szCs w:val="32"/>
        </w:rPr>
        <w:t>CH</w:t>
      </w:r>
      <w:r>
        <w:rPr>
          <w:rFonts w:ascii="仿宋_GB2312" w:hAnsi="仿宋_GB2312" w:cs="仿宋_GB2312"/>
          <w:szCs w:val="32"/>
          <w:vertAlign w:val="subscript"/>
        </w:rPr>
        <w:t>4</w:t>
      </w:r>
      <w:r>
        <w:rPr>
          <w:rFonts w:ascii="仿宋_GB2312" w:hAnsi="仿宋_GB2312" w:cs="仿宋_GB2312" w:hint="eastAsia"/>
          <w:szCs w:val="32"/>
        </w:rPr>
        <w:t>超限、</w:t>
      </w:r>
      <w:r>
        <w:rPr>
          <w:rFonts w:ascii="仿宋_GB2312" w:hAnsi="仿宋_GB2312" w:cs="仿宋_GB2312"/>
          <w:szCs w:val="32"/>
        </w:rPr>
        <w:t>CO超限、涌水量异常、边坡异常变形等</w:t>
      </w:r>
      <w:r>
        <w:rPr>
          <w:rFonts w:ascii="仿宋_GB2312" w:hAnsi="仿宋_GB2312" w:cs="仿宋_GB2312" w:hint="eastAsia"/>
          <w:szCs w:val="24"/>
        </w:rPr>
        <w:t>可能危及人身安全的红色预警时，要立即采取撤人、断电等必要措施。处置过程中无法保证安全的，应当撤出危险区域从事处置工作的作业人员。</w:t>
      </w:r>
    </w:p>
    <w:p w14:paraId="03C4562E" w14:textId="1D477710" w:rsidR="008011AF" w:rsidRDefault="00000000">
      <w:pPr>
        <w:numPr>
          <w:ilvl w:val="255"/>
          <w:numId w:val="0"/>
        </w:numPr>
        <w:ind w:firstLine="641"/>
        <w:rPr>
          <w:rFonts w:ascii="仿宋_GB2312" w:hAnsi="仿宋_GB2312" w:cs="仿宋_GB2312"/>
          <w:szCs w:val="24"/>
        </w:rPr>
      </w:pPr>
      <w:r>
        <w:rPr>
          <w:rFonts w:ascii="仿宋_GB2312" w:hAnsi="仿宋_GB2312" w:cs="仿宋_GB2312" w:hint="eastAsia"/>
          <w:szCs w:val="24"/>
        </w:rPr>
        <w:t>矿山上级企业接到风险预警信息后，应当根据风险预警信息级别采取电话调度、现场核查等方式指导矿山开展预警处置，查明原因，提出防范措施，开展责任倒查。</w:t>
      </w:r>
    </w:p>
    <w:p w14:paraId="1E2ACCF9" w14:textId="59AF6BBD" w:rsidR="008011AF" w:rsidRDefault="00000000">
      <w:pPr>
        <w:numPr>
          <w:ilvl w:val="0"/>
          <w:numId w:val="2"/>
        </w:numPr>
        <w:ind w:left="0" w:firstLine="640"/>
        <w:outlineLvl w:val="1"/>
        <w:rPr>
          <w:rFonts w:ascii="仿宋_GB2312" w:hAnsi="仿宋_GB2312" w:cs="仿宋_GB2312"/>
          <w:szCs w:val="24"/>
        </w:rPr>
      </w:pPr>
      <w:r>
        <w:rPr>
          <w:rFonts w:ascii="仿宋_GB2312" w:hAnsi="仿宋_GB2312" w:cs="仿宋_GB2312" w:hint="eastAsia"/>
          <w:szCs w:val="24"/>
        </w:rPr>
        <w:t>【监管监察部门响应】各级矿山安全监管监察部门接到风险预警信息后，应当按照分级响应工作机制，指导督促下级矿山安全监管监察部门、矿山及上级企业及时进行处置，对矿山填报的原因及处置措施等进行分析</w:t>
      </w:r>
      <w:proofErr w:type="gramStart"/>
      <w:r>
        <w:rPr>
          <w:rFonts w:ascii="仿宋_GB2312" w:hAnsi="仿宋_GB2312" w:cs="仿宋_GB2312" w:hint="eastAsia"/>
          <w:szCs w:val="24"/>
        </w:rPr>
        <w:t>研</w:t>
      </w:r>
      <w:proofErr w:type="gramEnd"/>
      <w:r>
        <w:rPr>
          <w:rFonts w:ascii="仿宋_GB2312" w:hAnsi="仿宋_GB2312" w:cs="仿宋_GB2312" w:hint="eastAsia"/>
          <w:szCs w:val="24"/>
        </w:rPr>
        <w:t>判，并依据</w:t>
      </w:r>
      <w:proofErr w:type="gramStart"/>
      <w:r>
        <w:rPr>
          <w:rFonts w:ascii="仿宋_GB2312" w:hAnsi="仿宋_GB2312" w:cs="仿宋_GB2312" w:hint="eastAsia"/>
          <w:szCs w:val="24"/>
        </w:rPr>
        <w:t>研判情况</w:t>
      </w:r>
      <w:proofErr w:type="gramEnd"/>
      <w:r>
        <w:rPr>
          <w:rFonts w:ascii="仿宋_GB2312" w:hAnsi="仿宋_GB2312" w:cs="仿宋_GB2312" w:hint="eastAsia"/>
          <w:szCs w:val="24"/>
        </w:rPr>
        <w:t>进行核查。上级矿山安全监管监察部门认为有必要的，可提级核查。</w:t>
      </w:r>
    </w:p>
    <w:p w14:paraId="6B063104" w14:textId="51BC2DAF" w:rsidR="008011AF" w:rsidRDefault="00000000">
      <w:pPr>
        <w:numPr>
          <w:ilvl w:val="0"/>
          <w:numId w:val="2"/>
        </w:numPr>
        <w:ind w:left="0" w:firstLineChars="0" w:firstLine="640"/>
        <w:outlineLvl w:val="1"/>
        <w:rPr>
          <w:rFonts w:ascii="仿宋_GB2312" w:hAnsi="仿宋_GB2312" w:cs="仿宋_GB2312"/>
          <w:szCs w:val="24"/>
        </w:rPr>
      </w:pPr>
      <w:r>
        <w:rPr>
          <w:rFonts w:ascii="仿宋_GB2312" w:hAnsi="仿宋_GB2312" w:cs="仿宋_GB2312" w:hint="eastAsia"/>
          <w:szCs w:val="24"/>
        </w:rPr>
        <w:t>【核查反馈】矿山应当根据核查处置情况，将风险预警信息产生原因、防范措施、责任人员处理意见等形成预警处置情况报告，原则上应当于</w:t>
      </w:r>
      <w:r>
        <w:rPr>
          <w:rFonts w:ascii="仿宋_GB2312" w:hAnsi="仿宋_GB2312" w:cs="仿宋_GB2312"/>
          <w:szCs w:val="24"/>
        </w:rPr>
        <w:t>7个工作日内</w:t>
      </w:r>
      <w:r>
        <w:rPr>
          <w:rFonts w:ascii="仿宋_GB2312" w:hAnsi="仿宋_GB2312" w:cs="仿宋_GB2312" w:hint="eastAsia"/>
          <w:szCs w:val="24"/>
        </w:rPr>
        <w:t>上传至监测预警系统。对国家矿山安全监察局通报的红色预警，省级矿山安全监管监察部门按照职责分工组织核查，原则上应当于</w:t>
      </w:r>
      <w:r>
        <w:rPr>
          <w:rFonts w:ascii="仿宋_GB2312" w:hAnsi="仿宋_GB2312" w:cs="仿宋_GB2312"/>
          <w:szCs w:val="24"/>
        </w:rPr>
        <w:t>10</w:t>
      </w:r>
      <w:r>
        <w:rPr>
          <w:rFonts w:ascii="仿宋_GB2312" w:hAnsi="仿宋_GB2312" w:cs="仿宋_GB2312" w:hint="eastAsia"/>
          <w:szCs w:val="24"/>
        </w:rPr>
        <w:t xml:space="preserve">个工作日内在监测预警系统中上传核查情况。 </w:t>
      </w:r>
    </w:p>
    <w:p w14:paraId="67934802" w14:textId="7246EE1C" w:rsidR="008011AF" w:rsidRDefault="00000000">
      <w:pPr>
        <w:numPr>
          <w:ilvl w:val="0"/>
          <w:numId w:val="2"/>
        </w:numPr>
        <w:ind w:left="0" w:firstLineChars="0" w:firstLine="640"/>
        <w:outlineLvl w:val="1"/>
        <w:rPr>
          <w:rFonts w:ascii="仿宋_GB2312" w:hAnsi="仿宋_GB2312" w:cs="仿宋_GB2312"/>
          <w:szCs w:val="24"/>
        </w:rPr>
      </w:pPr>
      <w:r>
        <w:rPr>
          <w:rFonts w:ascii="仿宋_GB2312" w:hAnsi="仿宋_GB2312" w:cs="仿宋_GB2312" w:hint="eastAsia"/>
          <w:szCs w:val="24"/>
        </w:rPr>
        <w:t>【分级督办】各级矿山安全监管监察部门按职责分工，对未及时处置的风险预警信息实行分级督办。省级实施细则中应当明确督办的责任主体和督办对象、督办事项等内容。</w:t>
      </w:r>
    </w:p>
    <w:p w14:paraId="183E61C0" w14:textId="77777777" w:rsidR="008011AF" w:rsidRDefault="00000000">
      <w:pPr>
        <w:numPr>
          <w:ilvl w:val="0"/>
          <w:numId w:val="2"/>
        </w:numPr>
        <w:ind w:left="0" w:firstLine="640"/>
        <w:outlineLvl w:val="1"/>
        <w:rPr>
          <w:rFonts w:ascii="仿宋_GB2312" w:hAnsi="仿宋_GB2312" w:cs="仿宋_GB2312"/>
          <w:szCs w:val="24"/>
        </w:rPr>
      </w:pPr>
      <w:r>
        <w:rPr>
          <w:rFonts w:ascii="仿宋_GB2312" w:hAnsi="仿宋_GB2312" w:cs="仿宋_GB2312" w:hint="eastAsia"/>
          <w:szCs w:val="24"/>
        </w:rPr>
        <w:t>【分析研判】矿山要如实记录风险预警信息处置情况，每月总结分析安全风险监测预警处置情况，并将分析</w:t>
      </w:r>
      <w:proofErr w:type="gramStart"/>
      <w:r>
        <w:rPr>
          <w:rFonts w:ascii="仿宋_GB2312" w:hAnsi="仿宋_GB2312" w:cs="仿宋_GB2312" w:hint="eastAsia"/>
          <w:szCs w:val="24"/>
        </w:rPr>
        <w:t>研判结果报矿山</w:t>
      </w:r>
      <w:proofErr w:type="gramEnd"/>
      <w:r>
        <w:rPr>
          <w:rFonts w:ascii="仿宋_GB2312" w:hAnsi="仿宋_GB2312" w:cs="仿宋_GB2312" w:hint="eastAsia"/>
          <w:szCs w:val="24"/>
        </w:rPr>
        <w:t>上级企业。</w:t>
      </w:r>
    </w:p>
    <w:p w14:paraId="2C38C13E" w14:textId="77777777" w:rsidR="008011AF" w:rsidRDefault="00000000">
      <w:pPr>
        <w:numPr>
          <w:ilvl w:val="255"/>
          <w:numId w:val="0"/>
        </w:numPr>
        <w:ind w:firstLine="641"/>
        <w:rPr>
          <w:rFonts w:ascii="仿宋_GB2312" w:hAnsi="仿宋_GB2312" w:cs="仿宋_GB2312"/>
          <w:szCs w:val="24"/>
        </w:rPr>
      </w:pPr>
      <w:r>
        <w:rPr>
          <w:rFonts w:ascii="仿宋_GB2312" w:hAnsi="仿宋_GB2312" w:cs="仿宋_GB2312" w:hint="eastAsia"/>
          <w:szCs w:val="24"/>
        </w:rPr>
        <w:t>矿山上级企业要及时收集汇总所属矿山安全风险监测预警处置情况，每月进行综合分析</w:t>
      </w:r>
      <w:proofErr w:type="gramStart"/>
      <w:r>
        <w:rPr>
          <w:rFonts w:ascii="仿宋_GB2312" w:hAnsi="仿宋_GB2312" w:cs="仿宋_GB2312" w:hint="eastAsia"/>
          <w:szCs w:val="24"/>
        </w:rPr>
        <w:t>研</w:t>
      </w:r>
      <w:proofErr w:type="gramEnd"/>
      <w:r>
        <w:rPr>
          <w:rFonts w:ascii="仿宋_GB2312" w:hAnsi="仿宋_GB2312" w:cs="仿宋_GB2312" w:hint="eastAsia"/>
          <w:szCs w:val="24"/>
        </w:rPr>
        <w:t>判，形成</w:t>
      </w:r>
      <w:proofErr w:type="gramStart"/>
      <w:r>
        <w:rPr>
          <w:rFonts w:ascii="仿宋_GB2312" w:hAnsi="仿宋_GB2312" w:cs="仿宋_GB2312" w:hint="eastAsia"/>
          <w:szCs w:val="24"/>
        </w:rPr>
        <w:t>研</w:t>
      </w:r>
      <w:proofErr w:type="gramEnd"/>
      <w:r>
        <w:rPr>
          <w:rFonts w:ascii="仿宋_GB2312" w:hAnsi="仿宋_GB2312" w:cs="仿宋_GB2312" w:hint="eastAsia"/>
          <w:szCs w:val="24"/>
        </w:rPr>
        <w:t>判报告，并将</w:t>
      </w:r>
      <w:proofErr w:type="gramStart"/>
      <w:r>
        <w:rPr>
          <w:rFonts w:ascii="仿宋_GB2312" w:hAnsi="仿宋_GB2312" w:cs="仿宋_GB2312" w:hint="eastAsia"/>
          <w:szCs w:val="24"/>
        </w:rPr>
        <w:t>研判报告</w:t>
      </w:r>
      <w:proofErr w:type="gramEnd"/>
      <w:r>
        <w:rPr>
          <w:rFonts w:ascii="仿宋_GB2312" w:hAnsi="仿宋_GB2312" w:cs="仿宋_GB2312" w:hint="eastAsia"/>
          <w:szCs w:val="24"/>
        </w:rPr>
        <w:t>及时上传至监测预警系统。</w:t>
      </w:r>
    </w:p>
    <w:p w14:paraId="185A2DBC" w14:textId="22FA2CFE" w:rsidR="008011AF" w:rsidRDefault="00000000">
      <w:pPr>
        <w:numPr>
          <w:ilvl w:val="0"/>
          <w:numId w:val="2"/>
        </w:numPr>
        <w:ind w:left="0" w:firstLine="640"/>
        <w:outlineLvl w:val="1"/>
        <w:rPr>
          <w:rFonts w:ascii="仿宋_GB2312" w:hAnsi="仿宋_GB2312" w:cs="仿宋_GB2312"/>
          <w:szCs w:val="24"/>
        </w:rPr>
      </w:pPr>
      <w:r>
        <w:rPr>
          <w:rFonts w:ascii="仿宋_GB2312" w:hAnsi="仿宋_GB2312" w:cs="仿宋_GB2312" w:hint="eastAsia"/>
          <w:szCs w:val="24"/>
        </w:rPr>
        <w:t>【抽查检查】各级矿山安全监管监察部门要按照职责分工，</w:t>
      </w:r>
      <w:r>
        <w:rPr>
          <w:rFonts w:ascii="仿宋_GB2312" w:hAnsi="仿宋_GB2312" w:cs="仿宋_GB2312" w:hint="eastAsia"/>
          <w:szCs w:val="32"/>
        </w:rPr>
        <w:t>对</w:t>
      </w:r>
      <w:r>
        <w:rPr>
          <w:rFonts w:ascii="仿宋_GB2312" w:hAnsi="仿宋_GB2312" w:cs="仿宋_GB2312" w:hint="eastAsia"/>
          <w:szCs w:val="24"/>
        </w:rPr>
        <w:t>矿山及上级企业安全风险监测预警处置情况进行抽查检查，定期对辖区内各类风险预警信息、产生原因、处置情况等进行统计分析，利用信息化、智能化手段加强远程监管监察，</w:t>
      </w:r>
      <w:proofErr w:type="gramStart"/>
      <w:r>
        <w:rPr>
          <w:rFonts w:ascii="仿宋_GB2312" w:hAnsi="仿宋_GB2312" w:cs="仿宋_GB2312" w:hint="eastAsia"/>
          <w:szCs w:val="24"/>
        </w:rPr>
        <w:t>研</w:t>
      </w:r>
      <w:proofErr w:type="gramEnd"/>
      <w:r>
        <w:rPr>
          <w:rFonts w:ascii="仿宋_GB2312" w:hAnsi="仿宋_GB2312" w:cs="仿宋_GB2312" w:hint="eastAsia"/>
          <w:szCs w:val="24"/>
        </w:rPr>
        <w:t>判辖区内矿山安全风险态势及共性问题，综合分析原因，推动源头治理。</w:t>
      </w:r>
    </w:p>
    <w:p w14:paraId="56994057" w14:textId="6E34FA73" w:rsidR="008011AF" w:rsidRDefault="00000000">
      <w:pPr>
        <w:numPr>
          <w:ilvl w:val="0"/>
          <w:numId w:val="2"/>
        </w:numPr>
        <w:ind w:left="0" w:firstLine="640"/>
        <w:outlineLvl w:val="1"/>
      </w:pPr>
      <w:r>
        <w:rPr>
          <w:rFonts w:ascii="仿宋_GB2312" w:hAnsi="仿宋_GB2312" w:cs="仿宋_GB2312" w:hint="eastAsia"/>
          <w:szCs w:val="24"/>
        </w:rPr>
        <w:t>【</w:t>
      </w:r>
      <w:r w:rsidRPr="00DF0ABC">
        <w:rPr>
          <w:rFonts w:ascii="仿宋_GB2312" w:hAnsi="仿宋_GB2312" w:cs="仿宋_GB2312" w:hint="eastAsia"/>
          <w:szCs w:val="24"/>
        </w:rPr>
        <w:t>科学合理处置</w:t>
      </w:r>
      <w:r>
        <w:rPr>
          <w:rFonts w:ascii="仿宋_GB2312" w:hAnsi="仿宋_GB2312" w:cs="仿宋_GB2312" w:hint="eastAsia"/>
          <w:szCs w:val="24"/>
        </w:rPr>
        <w:t>】各级矿山安全监管监察部门要科学、合理、客观处置因爆破、动火作业、断电试验、传感器标校、监控设备拆除挪移等产生的预警信息，重点加强因灾害治理、隐蔽治灾因素普查、现场管理不到位等可能导致事故的风险预警信息的核查处置。</w:t>
      </w:r>
    </w:p>
    <w:p w14:paraId="5046288A" w14:textId="77777777" w:rsidR="008011AF" w:rsidRDefault="00000000">
      <w:pPr>
        <w:numPr>
          <w:ilvl w:val="0"/>
          <w:numId w:val="1"/>
        </w:numPr>
        <w:spacing w:beforeLines="50" w:before="156" w:afterLines="50" w:after="156"/>
        <w:ind w:left="0" w:firstLineChars="0" w:firstLine="0"/>
        <w:jc w:val="center"/>
        <w:outlineLvl w:val="0"/>
        <w:rPr>
          <w:rFonts w:ascii="Times New Roman" w:eastAsia="黑体" w:hAnsi="Times New Roman" w:cs="Calibri"/>
          <w:sz w:val="36"/>
          <w:szCs w:val="24"/>
        </w:rPr>
      </w:pPr>
      <w:r>
        <w:rPr>
          <w:rFonts w:ascii="Times New Roman" w:eastAsia="黑体" w:hAnsi="Times New Roman" w:cs="Calibri"/>
          <w:sz w:val="36"/>
          <w:szCs w:val="24"/>
        </w:rPr>
        <w:t xml:space="preserve"> </w:t>
      </w:r>
      <w:r>
        <w:rPr>
          <w:rFonts w:ascii="Times New Roman" w:eastAsia="黑体" w:hAnsi="Times New Roman" w:cs="Calibri" w:hint="eastAsia"/>
          <w:sz w:val="36"/>
          <w:szCs w:val="24"/>
        </w:rPr>
        <w:t>监督检查</w:t>
      </w:r>
    </w:p>
    <w:p w14:paraId="2E8E154B" w14:textId="0178FEB3" w:rsidR="008011AF" w:rsidRDefault="00000000">
      <w:pPr>
        <w:numPr>
          <w:ilvl w:val="0"/>
          <w:numId w:val="2"/>
        </w:numPr>
        <w:ind w:left="0" w:firstLine="640"/>
        <w:outlineLvl w:val="1"/>
        <w:rPr>
          <w:rFonts w:ascii="仿宋_GB2312" w:hAnsi="仿宋_GB2312" w:cs="仿宋_GB2312"/>
          <w:szCs w:val="24"/>
        </w:rPr>
      </w:pPr>
      <w:r>
        <w:rPr>
          <w:rFonts w:ascii="仿宋_GB2312" w:hAnsi="仿宋_GB2312" w:cs="仿宋_GB2312" w:hint="eastAsia"/>
          <w:szCs w:val="24"/>
        </w:rPr>
        <w:t>【总体要求】各级矿山安全监管监察部门应当建立健全远程监管监察执法工作制度，依法对矿山及上级企业安全风险监测预警处置工作开展监督检查执法。综合采取提醒、约谈、行政处罚、行刑衔接等措施，警示不当作为、惩处不法行为。</w:t>
      </w:r>
    </w:p>
    <w:p w14:paraId="1BD3ABF3" w14:textId="19CFC251" w:rsidR="008011AF" w:rsidRDefault="00000000">
      <w:pPr>
        <w:numPr>
          <w:ilvl w:val="0"/>
          <w:numId w:val="2"/>
        </w:numPr>
        <w:ind w:left="0" w:firstLine="640"/>
        <w:outlineLvl w:val="1"/>
        <w:rPr>
          <w:rFonts w:ascii="仿宋_GB2312" w:hAnsi="仿宋_GB2312" w:cs="仿宋_GB2312"/>
          <w:szCs w:val="24"/>
        </w:rPr>
      </w:pPr>
      <w:r>
        <w:rPr>
          <w:rFonts w:ascii="仿宋_GB2312" w:hAnsi="仿宋_GB2312" w:cs="仿宋_GB2312" w:hint="eastAsia"/>
          <w:szCs w:val="24"/>
        </w:rPr>
        <w:t>【提醒】矿山及上级企业存在下列情形的，矿山安全监管监察部门按职责分工通过电话等方式提醒改正：</w:t>
      </w:r>
    </w:p>
    <w:p w14:paraId="22784A9E" w14:textId="77777777" w:rsidR="008011AF" w:rsidRDefault="00000000">
      <w:pPr>
        <w:numPr>
          <w:ilvl w:val="255"/>
          <w:numId w:val="0"/>
        </w:numPr>
        <w:ind w:firstLine="640"/>
        <w:rPr>
          <w:rFonts w:ascii="仿宋_GB2312" w:hAnsi="仿宋_GB2312" w:cs="仿宋_GB2312"/>
          <w:szCs w:val="24"/>
        </w:rPr>
      </w:pPr>
      <w:r>
        <w:rPr>
          <w:rFonts w:ascii="仿宋_GB2312" w:hAnsi="仿宋_GB2312" w:cs="仿宋_GB2312" w:hint="eastAsia"/>
          <w:szCs w:val="24"/>
        </w:rPr>
        <w:t>（一）未按照要求保持系统在线或声光报警功能不能正常运行的；</w:t>
      </w:r>
    </w:p>
    <w:p w14:paraId="7BD351DB" w14:textId="525E5420" w:rsidR="008011AF" w:rsidRDefault="00000000">
      <w:pPr>
        <w:numPr>
          <w:ilvl w:val="255"/>
          <w:numId w:val="0"/>
        </w:numPr>
        <w:ind w:firstLine="640"/>
        <w:rPr>
          <w:rFonts w:ascii="仿宋_GB2312" w:hAnsi="仿宋_GB2312" w:cs="仿宋_GB2312"/>
          <w:szCs w:val="24"/>
        </w:rPr>
      </w:pPr>
      <w:r>
        <w:rPr>
          <w:rFonts w:ascii="仿宋_GB2312" w:hAnsi="仿宋_GB2312" w:cs="仿宋_GB2312" w:hint="eastAsia"/>
          <w:szCs w:val="24"/>
        </w:rPr>
        <w:t>（二）未及时采取处置措施，或未及时、规范填报风险预警信息产生原因和处置措施的；</w:t>
      </w:r>
    </w:p>
    <w:p w14:paraId="74F8432E" w14:textId="77777777" w:rsidR="008011AF" w:rsidRDefault="00000000">
      <w:pPr>
        <w:ind w:firstLine="640"/>
        <w:rPr>
          <w:rFonts w:ascii="仿宋_GB2312" w:hAnsi="仿宋_GB2312" w:cs="仿宋_GB2312"/>
          <w:szCs w:val="24"/>
        </w:rPr>
      </w:pPr>
      <w:r>
        <w:rPr>
          <w:rFonts w:ascii="仿宋_GB2312" w:hAnsi="仿宋_GB2312" w:cs="仿宋_GB2312" w:hint="eastAsia"/>
          <w:szCs w:val="24"/>
        </w:rPr>
        <w:t>（三）监控数据联网上传中断超过</w:t>
      </w:r>
      <w:r>
        <w:rPr>
          <w:rFonts w:ascii="仿宋_GB2312" w:hAnsi="仿宋_GB2312" w:cs="仿宋_GB2312"/>
          <w:szCs w:val="24"/>
        </w:rPr>
        <w:t>1小时</w:t>
      </w:r>
      <w:r>
        <w:rPr>
          <w:rFonts w:ascii="仿宋_GB2312" w:hAnsi="仿宋_GB2312" w:cs="仿宋_GB2312" w:hint="eastAsia"/>
          <w:szCs w:val="24"/>
        </w:rPr>
        <w:t>且未提供合理原因的</w:t>
      </w:r>
      <w:r>
        <w:rPr>
          <w:rFonts w:ascii="仿宋_GB2312" w:hAnsi="仿宋_GB2312" w:cs="仿宋_GB2312"/>
          <w:szCs w:val="24"/>
        </w:rPr>
        <w:t>，或经常性出现上传故障的</w:t>
      </w:r>
      <w:r>
        <w:rPr>
          <w:rFonts w:ascii="仿宋_GB2312" w:hAnsi="仿宋_GB2312" w:cs="仿宋_GB2312" w:hint="eastAsia"/>
          <w:szCs w:val="24"/>
        </w:rPr>
        <w:t>；</w:t>
      </w:r>
    </w:p>
    <w:p w14:paraId="73362907" w14:textId="07CE2589" w:rsidR="008011AF" w:rsidRDefault="00000000">
      <w:pPr>
        <w:ind w:firstLine="640"/>
        <w:rPr>
          <w:rFonts w:ascii="仿宋_GB2312" w:hAnsi="仿宋_GB2312" w:cs="仿宋_GB2312"/>
          <w:szCs w:val="24"/>
        </w:rPr>
      </w:pPr>
      <w:r>
        <w:rPr>
          <w:rFonts w:ascii="仿宋_GB2312" w:hAnsi="仿宋_GB2312" w:cs="仿宋_GB2312" w:hint="eastAsia"/>
          <w:szCs w:val="24"/>
        </w:rPr>
        <w:t>（四）未按照本办法第七条规定及时填报、更新有关信息的；</w:t>
      </w:r>
    </w:p>
    <w:p w14:paraId="7FD0F257" w14:textId="77777777" w:rsidR="008011AF" w:rsidRDefault="00000000">
      <w:pPr>
        <w:ind w:firstLine="640"/>
        <w:rPr>
          <w:rFonts w:ascii="仿宋_GB2312" w:hAnsi="仿宋_GB2312" w:cs="仿宋_GB2312"/>
          <w:szCs w:val="24"/>
        </w:rPr>
      </w:pPr>
      <w:r>
        <w:rPr>
          <w:rFonts w:ascii="仿宋_GB2312" w:hAnsi="仿宋_GB2312" w:cs="仿宋_GB2312" w:hint="eastAsia"/>
          <w:szCs w:val="24"/>
        </w:rPr>
        <w:t>（五）矿山安全监管监察部门认为应当提醒的其他情形。</w:t>
      </w:r>
    </w:p>
    <w:p w14:paraId="0DEDFD1A" w14:textId="0A82A2BC" w:rsidR="008011AF" w:rsidRDefault="00000000">
      <w:pPr>
        <w:numPr>
          <w:ilvl w:val="0"/>
          <w:numId w:val="2"/>
        </w:numPr>
        <w:ind w:left="0" w:firstLine="640"/>
        <w:outlineLvl w:val="1"/>
        <w:rPr>
          <w:rFonts w:ascii="仿宋_GB2312" w:hAnsi="仿宋_GB2312" w:cs="仿宋_GB2312"/>
          <w:szCs w:val="24"/>
        </w:rPr>
      </w:pPr>
      <w:r>
        <w:rPr>
          <w:rFonts w:ascii="仿宋_GB2312" w:hAnsi="仿宋_GB2312" w:cs="仿宋_GB2312" w:hint="eastAsia"/>
          <w:szCs w:val="24"/>
        </w:rPr>
        <w:t>【约谈】矿山及上级企业存在下列情形之一的，矿山安全监管监察部门应当按职责分工，参照《安全生产约谈实施办法（试行）》约谈其主要负责人，及时将约谈情况在部门官方网站等进行公开，接受社会监督。</w:t>
      </w:r>
    </w:p>
    <w:p w14:paraId="7E138DE8" w14:textId="50A9AEFB" w:rsidR="008011AF" w:rsidRDefault="00000000">
      <w:pPr>
        <w:ind w:firstLine="640"/>
        <w:rPr>
          <w:rFonts w:ascii="仿宋_GB2312" w:hAnsi="仿宋_GB2312" w:cs="仿宋_GB2312"/>
          <w:szCs w:val="24"/>
        </w:rPr>
      </w:pPr>
      <w:r>
        <w:rPr>
          <w:rFonts w:ascii="仿宋_GB2312" w:hAnsi="仿宋_GB2312" w:cs="仿宋_GB2312" w:hint="eastAsia"/>
          <w:szCs w:val="24"/>
        </w:rPr>
        <w:t>（一）提醒或行政处罚后仍未改正或改善的；</w:t>
      </w:r>
    </w:p>
    <w:p w14:paraId="4F37F7B7" w14:textId="6A5D0714" w:rsidR="008011AF" w:rsidRDefault="00000000">
      <w:pPr>
        <w:ind w:firstLine="640"/>
        <w:rPr>
          <w:rFonts w:ascii="仿宋_GB2312" w:hAnsi="仿宋_GB2312" w:cs="仿宋_GB2312"/>
          <w:szCs w:val="24"/>
        </w:rPr>
      </w:pPr>
      <w:r>
        <w:rPr>
          <w:rFonts w:ascii="仿宋_GB2312" w:hAnsi="仿宋_GB2312" w:cs="仿宋_GB2312" w:hint="eastAsia"/>
          <w:szCs w:val="24"/>
        </w:rPr>
        <w:t>（二）</w:t>
      </w:r>
      <w:r>
        <w:rPr>
          <w:rFonts w:ascii="仿宋_GB2312" w:hAnsi="仿宋_GB2312" w:cs="仿宋_GB2312"/>
          <w:szCs w:val="24"/>
        </w:rPr>
        <w:t>1个月</w:t>
      </w:r>
      <w:r>
        <w:rPr>
          <w:rFonts w:ascii="仿宋_GB2312" w:hAnsi="仿宋_GB2312" w:cs="仿宋_GB2312" w:hint="eastAsia"/>
          <w:szCs w:val="24"/>
        </w:rPr>
        <w:t>内发生</w:t>
      </w:r>
      <w:r>
        <w:rPr>
          <w:rFonts w:ascii="仿宋_GB2312" w:hAnsi="仿宋_GB2312" w:cs="仿宋_GB2312"/>
          <w:szCs w:val="24"/>
        </w:rPr>
        <w:t>2</w:t>
      </w:r>
      <w:r>
        <w:rPr>
          <w:rFonts w:ascii="仿宋_GB2312" w:hAnsi="仿宋_GB2312" w:cs="仿宋_GB2312" w:hint="eastAsia"/>
          <w:szCs w:val="24"/>
        </w:rPr>
        <w:t>次及以上红色预警或</w:t>
      </w:r>
      <w:r>
        <w:rPr>
          <w:rFonts w:ascii="仿宋_GB2312" w:hAnsi="仿宋_GB2312" w:cs="仿宋_GB2312"/>
          <w:szCs w:val="24"/>
        </w:rPr>
        <w:t>4次及以上橙色预警</w:t>
      </w:r>
      <w:r>
        <w:rPr>
          <w:rFonts w:ascii="仿宋_GB2312" w:hAnsi="仿宋_GB2312" w:cs="仿宋_GB2312" w:hint="eastAsia"/>
          <w:szCs w:val="24"/>
        </w:rPr>
        <w:t>的（提前报备的除外）；</w:t>
      </w:r>
    </w:p>
    <w:p w14:paraId="3126F9D4" w14:textId="35EA7E36" w:rsidR="008011AF" w:rsidRDefault="00000000">
      <w:pPr>
        <w:numPr>
          <w:ilvl w:val="0"/>
          <w:numId w:val="5"/>
        </w:numPr>
        <w:ind w:firstLine="640"/>
        <w:rPr>
          <w:rFonts w:ascii="仿宋_GB2312" w:hAnsi="仿宋_GB2312" w:cs="仿宋_GB2312"/>
          <w:szCs w:val="24"/>
        </w:rPr>
      </w:pPr>
      <w:r>
        <w:rPr>
          <w:rFonts w:ascii="仿宋_GB2312" w:hAnsi="仿宋_GB2312" w:cs="仿宋_GB2312" w:hint="eastAsia"/>
          <w:szCs w:val="24"/>
        </w:rPr>
        <w:t>产生红色预警未及时处置的，或未按规定及时撤出危险区域内作业人员的；</w:t>
      </w:r>
    </w:p>
    <w:p w14:paraId="3F4B0565" w14:textId="7FF8B6C7" w:rsidR="008011AF" w:rsidRDefault="00000000">
      <w:pPr>
        <w:numPr>
          <w:ilvl w:val="0"/>
          <w:numId w:val="5"/>
        </w:numPr>
        <w:ind w:firstLine="640"/>
        <w:rPr>
          <w:rFonts w:ascii="仿宋_GB2312" w:hAnsi="仿宋_GB2312" w:cs="仿宋_GB2312"/>
          <w:szCs w:val="24"/>
        </w:rPr>
      </w:pPr>
      <w:r>
        <w:rPr>
          <w:rFonts w:ascii="仿宋_GB2312" w:hAnsi="仿宋_GB2312" w:cs="仿宋_GB2312" w:hint="eastAsia"/>
          <w:szCs w:val="24"/>
        </w:rPr>
        <w:t>矿山安全监管监察部门认为有必要的其他情形。</w:t>
      </w:r>
    </w:p>
    <w:p w14:paraId="3C1AC331" w14:textId="77777777" w:rsidR="008011AF" w:rsidRDefault="00000000">
      <w:pPr>
        <w:numPr>
          <w:ilvl w:val="255"/>
          <w:numId w:val="0"/>
        </w:numPr>
        <w:ind w:firstLine="641"/>
        <w:rPr>
          <w:rFonts w:ascii="仿宋_GB2312" w:hAnsi="仿宋_GB2312" w:cs="仿宋_GB2312"/>
          <w:szCs w:val="24"/>
        </w:rPr>
      </w:pPr>
      <w:r>
        <w:rPr>
          <w:rFonts w:ascii="仿宋_GB2312" w:hAnsi="仿宋_GB2312" w:cs="仿宋_GB2312"/>
          <w:szCs w:val="24"/>
        </w:rPr>
        <w:t>6个月内被约谈两次及以上仍未改善的，由省级矿山安全监管</w:t>
      </w:r>
      <w:r>
        <w:rPr>
          <w:rFonts w:ascii="仿宋_GB2312" w:hAnsi="仿宋_GB2312" w:cs="仿宋_GB2312" w:hint="eastAsia"/>
          <w:szCs w:val="24"/>
        </w:rPr>
        <w:t>监察</w:t>
      </w:r>
      <w:r>
        <w:rPr>
          <w:rFonts w:ascii="仿宋_GB2312" w:hAnsi="仿宋_GB2312" w:cs="仿宋_GB2312"/>
          <w:szCs w:val="24"/>
        </w:rPr>
        <w:t>部门</w:t>
      </w:r>
      <w:r>
        <w:rPr>
          <w:rFonts w:ascii="仿宋_GB2312" w:hAnsi="仿宋_GB2312" w:cs="仿宋_GB2312" w:hint="eastAsia"/>
          <w:szCs w:val="24"/>
        </w:rPr>
        <w:t>按照职责分工</w:t>
      </w:r>
      <w:r>
        <w:rPr>
          <w:rFonts w:ascii="仿宋_GB2312" w:hAnsi="仿宋_GB2312" w:cs="仿宋_GB2312"/>
          <w:szCs w:val="24"/>
        </w:rPr>
        <w:t>组织对矿山开展</w:t>
      </w:r>
      <w:r>
        <w:rPr>
          <w:rFonts w:ascii="仿宋_GB2312" w:hAnsi="仿宋_GB2312" w:cs="仿宋_GB2312" w:hint="eastAsia"/>
          <w:szCs w:val="24"/>
        </w:rPr>
        <w:t>专项检查</w:t>
      </w:r>
      <w:r>
        <w:rPr>
          <w:rFonts w:ascii="仿宋_GB2312" w:hAnsi="仿宋_GB2312" w:cs="仿宋_GB2312"/>
          <w:szCs w:val="24"/>
        </w:rPr>
        <w:t>，</w:t>
      </w:r>
      <w:r>
        <w:rPr>
          <w:rFonts w:ascii="仿宋_GB2312" w:hAnsi="仿宋_GB2312" w:cs="仿宋_GB2312" w:hint="eastAsia"/>
          <w:szCs w:val="24"/>
        </w:rPr>
        <w:t>并列为重点监管监察执法对象。</w:t>
      </w:r>
    </w:p>
    <w:p w14:paraId="69BEFDEC" w14:textId="0388F658" w:rsidR="008011AF" w:rsidRDefault="00000000">
      <w:pPr>
        <w:numPr>
          <w:ilvl w:val="0"/>
          <w:numId w:val="2"/>
        </w:numPr>
        <w:ind w:left="0" w:firstLine="640"/>
        <w:outlineLvl w:val="1"/>
        <w:rPr>
          <w:rFonts w:ascii="仿宋_GB2312" w:hAnsi="仿宋_GB2312" w:cs="仿宋_GB2312"/>
          <w:szCs w:val="24"/>
        </w:rPr>
      </w:pPr>
      <w:r>
        <w:rPr>
          <w:rFonts w:ascii="仿宋_GB2312" w:hAnsi="仿宋_GB2312" w:cs="仿宋_GB2312" w:hint="eastAsia"/>
          <w:szCs w:val="24"/>
        </w:rPr>
        <w:t>【行政处罚】各级矿山安全监管监察部门检查发现矿山及其上级企业未履行本办法第七条规定职责，或违反矿山安全风险监测预警处置有关规定的，应当依据《中华人民共和国安全生产法》等有关法律法规</w:t>
      </w:r>
      <w:proofErr w:type="gramStart"/>
      <w:r>
        <w:rPr>
          <w:rFonts w:ascii="仿宋_GB2312" w:hAnsi="仿宋_GB2312" w:cs="仿宋_GB2312" w:hint="eastAsia"/>
          <w:szCs w:val="24"/>
        </w:rPr>
        <w:t>作出</w:t>
      </w:r>
      <w:proofErr w:type="gramEnd"/>
      <w:r>
        <w:rPr>
          <w:rFonts w:ascii="仿宋_GB2312" w:hAnsi="仿宋_GB2312" w:cs="仿宋_GB2312" w:hint="eastAsia"/>
          <w:szCs w:val="24"/>
        </w:rPr>
        <w:t>行政处罚。</w:t>
      </w:r>
    </w:p>
    <w:p w14:paraId="5F203FBE" w14:textId="391F46EF" w:rsidR="008011AF" w:rsidRDefault="00000000">
      <w:pPr>
        <w:numPr>
          <w:ilvl w:val="0"/>
          <w:numId w:val="2"/>
        </w:numPr>
        <w:ind w:left="0" w:firstLine="640"/>
        <w:outlineLvl w:val="1"/>
        <w:rPr>
          <w:rFonts w:ascii="仿宋_GB2312" w:hAnsi="仿宋_GB2312" w:cs="仿宋_GB2312"/>
          <w:szCs w:val="24"/>
        </w:rPr>
      </w:pPr>
      <w:r>
        <w:rPr>
          <w:rFonts w:ascii="仿宋_GB2312" w:hAnsi="仿宋_GB2312" w:cs="仿宋_GB2312" w:hint="eastAsia"/>
          <w:szCs w:val="24"/>
        </w:rPr>
        <w:t>【违法犯罪处置】对</w:t>
      </w:r>
      <w:r>
        <w:t>矿山及上级企业</w:t>
      </w:r>
      <w:r>
        <w:rPr>
          <w:rFonts w:ascii="仿宋_GB2312" w:hAnsi="仿宋_GB2312" w:cs="仿宋_GB2312" w:hint="eastAsia"/>
          <w:szCs w:val="24"/>
        </w:rPr>
        <w:t>、第三</w:t>
      </w:r>
      <w:proofErr w:type="gramStart"/>
      <w:r>
        <w:rPr>
          <w:rFonts w:ascii="仿宋_GB2312" w:hAnsi="仿宋_GB2312" w:cs="仿宋_GB2312" w:hint="eastAsia"/>
          <w:szCs w:val="24"/>
        </w:rPr>
        <w:t>方服务</w:t>
      </w:r>
      <w:proofErr w:type="gramEnd"/>
      <w:r>
        <w:rPr>
          <w:rFonts w:ascii="仿宋_GB2312" w:hAnsi="仿宋_GB2312" w:cs="仿宋_GB2312" w:hint="eastAsia"/>
          <w:szCs w:val="24"/>
        </w:rPr>
        <w:t>机构及相关人员有以下违法违规行为的，矿山安全监管监察部门应当依法严厉打击。涉嫌犯罪的，依法移送司法机关调查处理。</w:t>
      </w:r>
    </w:p>
    <w:p w14:paraId="733A4346" w14:textId="7FF0FFC9" w:rsidR="008011AF" w:rsidRDefault="00000000">
      <w:pPr>
        <w:ind w:firstLine="640"/>
        <w:rPr>
          <w:rFonts w:ascii="仿宋_GB2312" w:hAnsi="仿宋_GB2312" w:cs="仿宋_GB2312"/>
          <w:szCs w:val="24"/>
        </w:rPr>
      </w:pPr>
      <w:r>
        <w:rPr>
          <w:rFonts w:ascii="仿宋_GB2312" w:hAnsi="仿宋_GB2312" w:cs="仿宋_GB2312" w:hint="eastAsia"/>
          <w:szCs w:val="24"/>
        </w:rPr>
        <w:t>（一）故意隐瞒风险预警信息产生的真实原因；</w:t>
      </w:r>
    </w:p>
    <w:p w14:paraId="1D33B9CF" w14:textId="77777777" w:rsidR="008011AF" w:rsidRDefault="00000000">
      <w:pPr>
        <w:ind w:firstLine="640"/>
        <w:rPr>
          <w:rFonts w:ascii="仿宋_GB2312" w:hAnsi="仿宋_GB2312" w:cs="仿宋_GB2312"/>
          <w:szCs w:val="24"/>
        </w:rPr>
      </w:pPr>
      <w:r>
        <w:rPr>
          <w:rFonts w:ascii="仿宋_GB2312" w:hAnsi="仿宋_GB2312" w:cs="仿宋_GB2312" w:hint="eastAsia"/>
          <w:szCs w:val="24"/>
        </w:rPr>
        <w:t>（二）以逃避监管为目的，不按要求安装监测监控设备和上传数据；</w:t>
      </w:r>
    </w:p>
    <w:p w14:paraId="646C0AE5" w14:textId="77777777" w:rsidR="008011AF" w:rsidRDefault="00000000">
      <w:pPr>
        <w:ind w:firstLine="640"/>
        <w:rPr>
          <w:rFonts w:ascii="仿宋_GB2312" w:hAnsi="仿宋_GB2312" w:cs="仿宋_GB2312"/>
          <w:szCs w:val="24"/>
        </w:rPr>
      </w:pPr>
      <w:r>
        <w:rPr>
          <w:rFonts w:ascii="仿宋_GB2312" w:hAnsi="仿宋_GB2312" w:cs="仿宋_GB2312" w:hint="eastAsia"/>
          <w:szCs w:val="24"/>
        </w:rPr>
        <w:t>（三）组织矿工多卡无卡下井，隐瞒下井人数；</w:t>
      </w:r>
    </w:p>
    <w:p w14:paraId="1FEAE516" w14:textId="77777777" w:rsidR="008011AF" w:rsidRDefault="00000000">
      <w:pPr>
        <w:ind w:firstLine="640"/>
        <w:rPr>
          <w:rFonts w:ascii="仿宋_GB2312" w:hAnsi="仿宋_GB2312" w:cs="仿宋_GB2312"/>
          <w:szCs w:val="24"/>
        </w:rPr>
      </w:pPr>
      <w:r>
        <w:rPr>
          <w:rFonts w:ascii="仿宋_GB2312" w:hAnsi="仿宋_GB2312" w:cs="仿宋_GB2312" w:hint="eastAsia"/>
          <w:szCs w:val="24"/>
        </w:rPr>
        <w:t>（四）人为干扰、破坏、屏蔽、关闭、不正常运行监测监控设备及系统；</w:t>
      </w:r>
    </w:p>
    <w:p w14:paraId="11633411" w14:textId="77777777" w:rsidR="008011AF" w:rsidRDefault="00000000">
      <w:pPr>
        <w:numPr>
          <w:ilvl w:val="255"/>
          <w:numId w:val="0"/>
        </w:numPr>
        <w:ind w:firstLine="640"/>
        <w:rPr>
          <w:rFonts w:ascii="仿宋_GB2312" w:hAnsi="仿宋_GB2312" w:cs="仿宋_GB2312"/>
          <w:szCs w:val="24"/>
        </w:rPr>
      </w:pPr>
      <w:r>
        <w:rPr>
          <w:rFonts w:ascii="仿宋_GB2312" w:hAnsi="仿宋_GB2312" w:cs="仿宋_GB2312" w:hint="eastAsia"/>
          <w:szCs w:val="24"/>
        </w:rPr>
        <w:t>（五）篡改、隐瞒、销毁监测监控数据；</w:t>
      </w:r>
    </w:p>
    <w:p w14:paraId="25D1370F" w14:textId="77777777" w:rsidR="008011AF" w:rsidRDefault="00000000">
      <w:pPr>
        <w:numPr>
          <w:ilvl w:val="255"/>
          <w:numId w:val="0"/>
        </w:numPr>
        <w:ind w:firstLine="640"/>
        <w:rPr>
          <w:rFonts w:ascii="仿宋_GB2312" w:hAnsi="仿宋_GB2312" w:cs="仿宋_GB2312"/>
          <w:szCs w:val="24"/>
        </w:rPr>
      </w:pPr>
      <w:r>
        <w:rPr>
          <w:rFonts w:ascii="仿宋_GB2312" w:hAnsi="仿宋_GB2312" w:cs="仿宋_GB2312" w:hint="eastAsia"/>
          <w:szCs w:val="24"/>
        </w:rPr>
        <w:t>（六）法律法规规定的其他情形。</w:t>
      </w:r>
    </w:p>
    <w:p w14:paraId="663A0DD8" w14:textId="36534358" w:rsidR="008011AF" w:rsidRDefault="00000000">
      <w:pPr>
        <w:numPr>
          <w:ilvl w:val="0"/>
          <w:numId w:val="2"/>
        </w:numPr>
        <w:ind w:left="0" w:firstLine="640"/>
        <w:outlineLvl w:val="1"/>
        <w:rPr>
          <w:rFonts w:ascii="仿宋_GB2312" w:hAnsi="仿宋_GB2312" w:cs="仿宋_GB2312"/>
          <w:szCs w:val="24"/>
        </w:rPr>
      </w:pPr>
      <w:r>
        <w:rPr>
          <w:rFonts w:ascii="仿宋_GB2312" w:hAnsi="仿宋_GB2312" w:cs="仿宋_GB2312" w:hint="eastAsia"/>
          <w:szCs w:val="24"/>
        </w:rPr>
        <w:t>【重点监管监察】</w:t>
      </w:r>
      <w:r>
        <w:rPr>
          <w:rFonts w:ascii="仿宋_GB2312" w:hAnsi="仿宋_GB2312" w:cs="仿宋_GB2312" w:hint="eastAsia"/>
          <w:szCs w:val="32"/>
        </w:rPr>
        <w:t>国家矿山安全监察局及省级局要将矿山安全监管部门的安全风险监测预警处置工作纳入“督政”检查内容。对发现的安全风险监测预警处置工作中的共性、重点问题和矿山重大安全风险，应当向有关地方人民政府提出改善和加强矿山安全生产工作的建议。</w:t>
      </w:r>
    </w:p>
    <w:p w14:paraId="5C31F7AD" w14:textId="77777777" w:rsidR="008011AF" w:rsidRDefault="00000000">
      <w:pPr>
        <w:numPr>
          <w:ilvl w:val="255"/>
          <w:numId w:val="0"/>
        </w:numPr>
        <w:ind w:firstLineChars="200" w:firstLine="640"/>
        <w:rPr>
          <w:rStyle w:val="ad"/>
        </w:rPr>
      </w:pPr>
      <w:r>
        <w:rPr>
          <w:rFonts w:ascii="仿宋_GB2312" w:hAnsi="仿宋_GB2312" w:cs="仿宋_GB2312" w:hint="eastAsia"/>
          <w:szCs w:val="24"/>
        </w:rPr>
        <w:t>对红色预警多发频发的地区，国家矿山安全监察局和省级矿山安全监管监察部门视情况约谈该地区政府负责人，并将该地区列为重点监管监察地区。</w:t>
      </w:r>
    </w:p>
    <w:p w14:paraId="03F78A62" w14:textId="77777777" w:rsidR="008011AF" w:rsidRDefault="00000000">
      <w:pPr>
        <w:numPr>
          <w:ilvl w:val="0"/>
          <w:numId w:val="1"/>
        </w:numPr>
        <w:spacing w:beforeLines="50" w:before="156" w:afterLines="50" w:after="156"/>
        <w:ind w:left="0" w:firstLineChars="100" w:firstLine="320"/>
        <w:jc w:val="center"/>
        <w:outlineLvl w:val="0"/>
        <w:rPr>
          <w:rFonts w:ascii="Times New Roman" w:eastAsia="黑体" w:hAnsi="Times New Roman" w:cs="Calibri"/>
          <w:sz w:val="36"/>
          <w:szCs w:val="24"/>
        </w:rPr>
      </w:pPr>
      <w:r>
        <w:rPr>
          <w:rFonts w:ascii="仿宋_GB2312" w:hAnsi="仿宋_GB2312" w:cs="仿宋_GB2312" w:hint="eastAsia"/>
          <w:szCs w:val="24"/>
        </w:rPr>
        <w:t xml:space="preserve"> </w:t>
      </w:r>
      <w:r>
        <w:rPr>
          <w:rFonts w:ascii="Times New Roman" w:eastAsia="黑体" w:hAnsi="Times New Roman" w:cs="Calibri" w:hint="eastAsia"/>
          <w:sz w:val="36"/>
          <w:szCs w:val="24"/>
        </w:rPr>
        <w:t>附</w:t>
      </w:r>
      <w:r>
        <w:rPr>
          <w:rFonts w:ascii="Times New Roman" w:eastAsia="黑体" w:hAnsi="Times New Roman" w:cs="Calibri" w:hint="eastAsia"/>
          <w:sz w:val="36"/>
          <w:szCs w:val="24"/>
        </w:rPr>
        <w:t xml:space="preserve"> </w:t>
      </w:r>
      <w:r>
        <w:rPr>
          <w:rFonts w:ascii="Times New Roman" w:eastAsia="黑体" w:hAnsi="Times New Roman" w:cs="Calibri"/>
          <w:sz w:val="36"/>
          <w:szCs w:val="24"/>
        </w:rPr>
        <w:t xml:space="preserve"> </w:t>
      </w:r>
      <w:r>
        <w:rPr>
          <w:rFonts w:ascii="Times New Roman" w:eastAsia="黑体" w:hAnsi="Times New Roman" w:cs="Calibri" w:hint="eastAsia"/>
          <w:sz w:val="36"/>
          <w:szCs w:val="24"/>
        </w:rPr>
        <w:t>则</w:t>
      </w:r>
    </w:p>
    <w:p w14:paraId="4A847F9B" w14:textId="77777777" w:rsidR="008011AF" w:rsidRDefault="00000000">
      <w:pPr>
        <w:numPr>
          <w:ilvl w:val="0"/>
          <w:numId w:val="2"/>
        </w:numPr>
        <w:ind w:left="0" w:firstLine="640"/>
        <w:outlineLvl w:val="1"/>
        <w:rPr>
          <w:rFonts w:ascii="仿宋_GB2312" w:hAnsi="仿宋_GB2312" w:cs="仿宋_GB2312"/>
          <w:szCs w:val="24"/>
        </w:rPr>
      </w:pPr>
      <w:r>
        <w:rPr>
          <w:rFonts w:ascii="仿宋_GB2312" w:hAnsi="仿宋_GB2312" w:cs="仿宋_GB2312" w:hint="eastAsia"/>
          <w:szCs w:val="24"/>
        </w:rPr>
        <w:t xml:space="preserve"> 本办法由国家矿山安全监察局负责解释。</w:t>
      </w:r>
    </w:p>
    <w:p w14:paraId="58204B61" w14:textId="77777777" w:rsidR="008011AF" w:rsidRDefault="00000000">
      <w:pPr>
        <w:numPr>
          <w:ilvl w:val="0"/>
          <w:numId w:val="2"/>
        </w:numPr>
        <w:ind w:left="0" w:firstLine="640"/>
        <w:outlineLvl w:val="1"/>
        <w:rPr>
          <w:rFonts w:ascii="仿宋_GB2312" w:hAnsi="仿宋_GB2312" w:cs="仿宋_GB2312"/>
          <w:szCs w:val="24"/>
        </w:rPr>
      </w:pPr>
      <w:r>
        <w:rPr>
          <w:rFonts w:ascii="仿宋_GB2312" w:hAnsi="仿宋_GB2312" w:cs="仿宋_GB2312" w:hint="eastAsia"/>
          <w:szCs w:val="24"/>
        </w:rPr>
        <w:t xml:space="preserve"> </w:t>
      </w:r>
      <w:r>
        <w:rPr>
          <w:rFonts w:ascii="仿宋_GB2312" w:hAnsi="仿宋_GB2312" w:cs="仿宋_GB2312"/>
          <w:szCs w:val="24"/>
        </w:rPr>
        <w:t>本办法自印发之日起执行。《国家矿山安全监察局综合司关于印发&lt;矿山安全生产风险监测预警系统查看、上报及问题处置工作办法（暂行）&gt;的通知》（</w:t>
      </w:r>
      <w:proofErr w:type="gramStart"/>
      <w:r>
        <w:rPr>
          <w:rFonts w:ascii="仿宋_GB2312" w:hAnsi="仿宋_GB2312" w:cs="仿宋_GB2312"/>
          <w:szCs w:val="24"/>
        </w:rPr>
        <w:t>矿安综</w:t>
      </w:r>
      <w:proofErr w:type="gramEnd"/>
      <w:r>
        <w:rPr>
          <w:rFonts w:ascii="仿宋_GB2312" w:hAnsi="仿宋_GB2312" w:cs="仿宋_GB2312"/>
          <w:szCs w:val="24"/>
        </w:rPr>
        <w:t>〔2021〕32号）同时废止</w:t>
      </w:r>
      <w:r>
        <w:rPr>
          <w:rFonts w:ascii="仿宋_GB2312" w:hAnsi="仿宋_GB2312" w:cs="仿宋_GB2312" w:hint="eastAsia"/>
          <w:szCs w:val="24"/>
        </w:rPr>
        <w:t>。</w:t>
      </w:r>
    </w:p>
    <w:p w14:paraId="69F89B8E" w14:textId="77777777" w:rsidR="008011AF" w:rsidRDefault="008011AF">
      <w:pPr>
        <w:ind w:left="640" w:firstLineChars="0" w:firstLine="0"/>
        <w:rPr>
          <w:rFonts w:ascii="仿宋_GB2312" w:hAnsi="仿宋_GB2312" w:cs="仿宋_GB2312"/>
          <w:szCs w:val="24"/>
        </w:rPr>
      </w:pPr>
    </w:p>
    <w:p w14:paraId="01749631" w14:textId="77777777" w:rsidR="008011AF" w:rsidRDefault="00000000">
      <w:pPr>
        <w:ind w:firstLine="640"/>
        <w:outlineLvl w:val="0"/>
        <w:rPr>
          <w:rFonts w:ascii="Times New Roman" w:eastAsia="黑体" w:hAnsi="Times New Roman" w:cs="黑体"/>
          <w:szCs w:val="24"/>
        </w:rPr>
      </w:pPr>
      <w:r>
        <w:rPr>
          <w:rFonts w:ascii="Times New Roman" w:eastAsia="方正仿宋_GBK" w:hAnsi="Times New Roman" w:cs="Times New Roman" w:hint="eastAsia"/>
          <w:szCs w:val="24"/>
        </w:rPr>
        <w:br w:type="page"/>
      </w:r>
      <w:r>
        <w:rPr>
          <w:rFonts w:ascii="Times New Roman" w:eastAsia="黑体" w:hAnsi="Times New Roman" w:cs="黑体" w:hint="eastAsia"/>
          <w:szCs w:val="24"/>
        </w:rPr>
        <w:t>附录</w:t>
      </w:r>
    </w:p>
    <w:p w14:paraId="70B29616" w14:textId="77777777" w:rsidR="008011AF" w:rsidRDefault="00000000">
      <w:pPr>
        <w:ind w:firstLine="640"/>
        <w:jc w:val="center"/>
        <w:outlineLvl w:val="0"/>
        <w:rPr>
          <w:rFonts w:ascii="Times New Roman" w:eastAsia="楷体" w:hAnsi="Times New Roman" w:cs="楷体"/>
          <w:szCs w:val="24"/>
        </w:rPr>
      </w:pPr>
      <w:r>
        <w:rPr>
          <w:rFonts w:ascii="Times New Roman" w:eastAsia="楷体" w:hAnsi="Times New Roman" w:cs="楷体" w:hint="eastAsia"/>
          <w:szCs w:val="24"/>
        </w:rPr>
        <w:t>矿山安全风险预警信息分级标准</w:t>
      </w:r>
    </w:p>
    <w:p w14:paraId="0E34C45B" w14:textId="77777777" w:rsidR="008011AF" w:rsidRDefault="00000000">
      <w:pPr>
        <w:ind w:firstLine="560"/>
        <w:rPr>
          <w:rFonts w:ascii="Times New Roman" w:hAnsi="Times New Roman" w:cs="Calibri"/>
          <w:sz w:val="28"/>
          <w:szCs w:val="28"/>
        </w:rPr>
      </w:pPr>
      <w:r>
        <w:rPr>
          <w:rFonts w:ascii="Times New Roman" w:hAnsi="Times New Roman" w:cs="Calibri" w:hint="eastAsia"/>
          <w:sz w:val="28"/>
          <w:szCs w:val="28"/>
        </w:rPr>
        <w:t>一、安全感知数据</w:t>
      </w:r>
    </w:p>
    <w:p w14:paraId="195D878A" w14:textId="77777777" w:rsidR="008011AF" w:rsidRDefault="00000000">
      <w:pPr>
        <w:ind w:firstLine="560"/>
        <w:rPr>
          <w:rFonts w:ascii="Times New Roman" w:hAnsi="Times New Roman" w:cs="Calibri"/>
          <w:sz w:val="28"/>
          <w:szCs w:val="28"/>
        </w:rPr>
      </w:pPr>
      <w:r>
        <w:rPr>
          <w:rFonts w:ascii="Times New Roman" w:hAnsi="Times New Roman" w:cs="Calibri" w:hint="eastAsia"/>
          <w:sz w:val="28"/>
          <w:szCs w:val="28"/>
        </w:rPr>
        <w:t>（一）安全监测监控系统</w:t>
      </w:r>
    </w:p>
    <w:p w14:paraId="3425809E" w14:textId="77777777" w:rsidR="008011AF" w:rsidRDefault="00000000">
      <w:pPr>
        <w:ind w:firstLine="560"/>
        <w:rPr>
          <w:rFonts w:ascii="Times New Roman" w:hAnsi="Times New Roman" w:cs="Calibri"/>
          <w:sz w:val="28"/>
          <w:szCs w:val="28"/>
        </w:rPr>
      </w:pPr>
      <w:r>
        <w:rPr>
          <w:rFonts w:ascii="Times New Roman" w:hAnsi="Times New Roman" w:cs="Calibri" w:hint="eastAsia"/>
          <w:sz w:val="28"/>
          <w:szCs w:val="28"/>
        </w:rPr>
        <w:t>1.CH</w:t>
      </w:r>
      <w:r>
        <w:rPr>
          <w:rFonts w:ascii="Times New Roman" w:hAnsi="Times New Roman" w:cs="Calibri"/>
          <w:sz w:val="28"/>
          <w:szCs w:val="28"/>
          <w:vertAlign w:val="subscript"/>
        </w:rPr>
        <w:t>4</w:t>
      </w:r>
      <w:r>
        <w:rPr>
          <w:rFonts w:ascii="Times New Roman" w:hAnsi="Times New Roman" w:cs="Calibri" w:hint="eastAsia"/>
          <w:sz w:val="28"/>
          <w:szCs w:val="28"/>
        </w:rPr>
        <w:t>监测数据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699"/>
        <w:gridCol w:w="1703"/>
        <w:gridCol w:w="1559"/>
        <w:gridCol w:w="1468"/>
      </w:tblGrid>
      <w:tr w:rsidR="008011AF" w14:paraId="5CEDE0C9" w14:textId="77777777">
        <w:trPr>
          <w:trHeight w:val="20"/>
        </w:trPr>
        <w:tc>
          <w:tcPr>
            <w:tcW w:w="1843" w:type="dxa"/>
            <w:vMerge w:val="restart"/>
            <w:vAlign w:val="center"/>
          </w:tcPr>
          <w:p w14:paraId="1DC3EBD1"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时长（</w:t>
            </w:r>
            <w:r>
              <w:rPr>
                <w:rFonts w:ascii="Times New Roman" w:hAnsi="Times New Roman" w:cs="Calibri"/>
                <w:bCs/>
                <w:sz w:val="24"/>
                <w:szCs w:val="24"/>
              </w:rPr>
              <w:t>T</w:t>
            </w:r>
            <w:r>
              <w:rPr>
                <w:rFonts w:ascii="Times New Roman" w:hAnsi="Times New Roman" w:cs="Calibri"/>
                <w:bCs/>
                <w:sz w:val="24"/>
                <w:szCs w:val="24"/>
              </w:rPr>
              <w:t>）</w:t>
            </w:r>
            <w:r>
              <w:rPr>
                <w:rFonts w:ascii="Times New Roman" w:hAnsi="Times New Roman" w:cs="Calibri"/>
                <w:bCs/>
                <w:sz w:val="24"/>
                <w:szCs w:val="24"/>
              </w:rPr>
              <w:t>min</w:t>
            </w:r>
          </w:p>
        </w:tc>
        <w:tc>
          <w:tcPr>
            <w:tcW w:w="6429" w:type="dxa"/>
            <w:gridSpan w:val="4"/>
            <w:vAlign w:val="center"/>
          </w:tcPr>
          <w:p w14:paraId="003A702B"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CH</w:t>
            </w:r>
            <w:r>
              <w:rPr>
                <w:rFonts w:ascii="Times New Roman" w:hAnsi="Times New Roman" w:cs="Calibri"/>
                <w:bCs/>
                <w:sz w:val="24"/>
                <w:szCs w:val="24"/>
                <w:vertAlign w:val="subscript"/>
              </w:rPr>
              <w:t>4</w:t>
            </w:r>
            <w:r>
              <w:rPr>
                <w:rFonts w:ascii="Times New Roman" w:hAnsi="Times New Roman" w:cs="Calibri"/>
                <w:bCs/>
                <w:sz w:val="24"/>
                <w:szCs w:val="24"/>
              </w:rPr>
              <w:t>浓度（</w:t>
            </w:r>
            <w:r>
              <w:rPr>
                <w:rFonts w:ascii="Times New Roman" w:hAnsi="Times New Roman" w:cs="Calibri"/>
                <w:bCs/>
                <w:sz w:val="24"/>
                <w:szCs w:val="24"/>
              </w:rPr>
              <w:t>%</w:t>
            </w:r>
            <w:r>
              <w:rPr>
                <w:rFonts w:ascii="Times New Roman" w:hAnsi="Times New Roman" w:cs="Calibri"/>
                <w:bCs/>
                <w:sz w:val="24"/>
                <w:szCs w:val="24"/>
              </w:rPr>
              <w:t>）</w:t>
            </w:r>
          </w:p>
        </w:tc>
      </w:tr>
      <w:tr w:rsidR="008011AF" w14:paraId="75FAAD3C" w14:textId="77777777">
        <w:trPr>
          <w:trHeight w:val="20"/>
        </w:trPr>
        <w:tc>
          <w:tcPr>
            <w:tcW w:w="1843" w:type="dxa"/>
            <w:vMerge/>
            <w:vAlign w:val="center"/>
          </w:tcPr>
          <w:p w14:paraId="2CD55D95" w14:textId="77777777" w:rsidR="008011AF" w:rsidRDefault="008011AF">
            <w:pPr>
              <w:spacing w:line="240" w:lineRule="auto"/>
              <w:ind w:firstLineChars="0" w:firstLine="0"/>
              <w:jc w:val="center"/>
              <w:rPr>
                <w:rFonts w:ascii="Times New Roman" w:hAnsi="Times New Roman" w:cs="Calibri"/>
                <w:bCs/>
                <w:sz w:val="24"/>
                <w:szCs w:val="24"/>
              </w:rPr>
            </w:pPr>
          </w:p>
        </w:tc>
        <w:tc>
          <w:tcPr>
            <w:tcW w:w="1699" w:type="dxa"/>
            <w:vAlign w:val="center"/>
          </w:tcPr>
          <w:p w14:paraId="1073E7D6" w14:textId="77777777" w:rsidR="008011AF" w:rsidRDefault="00000000">
            <w:pPr>
              <w:spacing w:line="240" w:lineRule="auto"/>
              <w:ind w:firstLineChars="0" w:firstLine="0"/>
              <w:jc w:val="center"/>
              <w:rPr>
                <w:rFonts w:ascii="Times New Roman" w:hAnsi="Times New Roman" w:cs="Calibri"/>
                <w:bCs/>
                <w:sz w:val="24"/>
                <w:szCs w:val="24"/>
              </w:rPr>
            </w:pPr>
            <w:commentRangeStart w:id="3"/>
            <w:r>
              <w:rPr>
                <w:rFonts w:ascii="Times New Roman" w:hAnsi="Times New Roman" w:cs="Calibri"/>
                <w:bCs/>
                <w:sz w:val="24"/>
                <w:szCs w:val="24"/>
              </w:rPr>
              <w:t>1≤</w:t>
            </w:r>
            <w:commentRangeEnd w:id="3"/>
            <w:r>
              <w:rPr>
                <w:rStyle w:val="ad"/>
              </w:rPr>
              <w:commentReference w:id="3"/>
            </w:r>
            <w:r>
              <w:rPr>
                <w:rFonts w:ascii="Times New Roman" w:hAnsi="Times New Roman" w:cs="Calibri"/>
                <w:bCs/>
                <w:sz w:val="24"/>
                <w:szCs w:val="24"/>
              </w:rPr>
              <w:t>CH</w:t>
            </w:r>
            <w:r>
              <w:rPr>
                <w:rFonts w:ascii="Times New Roman" w:hAnsi="Times New Roman" w:cs="Calibri"/>
                <w:bCs/>
                <w:sz w:val="24"/>
                <w:szCs w:val="24"/>
                <w:vertAlign w:val="subscript"/>
              </w:rPr>
              <w:t>4</w:t>
            </w:r>
            <w:r>
              <w:rPr>
                <w:rFonts w:ascii="Times New Roman" w:hAnsi="Times New Roman" w:cs="Calibri"/>
                <w:bCs/>
                <w:sz w:val="24"/>
                <w:szCs w:val="24"/>
              </w:rPr>
              <w:t>＜</w:t>
            </w:r>
            <w:r>
              <w:rPr>
                <w:rFonts w:ascii="Times New Roman" w:hAnsi="Times New Roman" w:cs="Calibri"/>
                <w:bCs/>
                <w:sz w:val="24"/>
                <w:szCs w:val="24"/>
              </w:rPr>
              <w:t>1.5</w:t>
            </w:r>
          </w:p>
        </w:tc>
        <w:tc>
          <w:tcPr>
            <w:tcW w:w="1703" w:type="dxa"/>
            <w:vAlign w:val="center"/>
          </w:tcPr>
          <w:p w14:paraId="75AEFFAD"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1.5≤CH</w:t>
            </w:r>
            <w:r>
              <w:rPr>
                <w:rFonts w:ascii="Times New Roman" w:hAnsi="Times New Roman" w:cs="Calibri"/>
                <w:bCs/>
                <w:sz w:val="24"/>
                <w:szCs w:val="24"/>
                <w:vertAlign w:val="subscript"/>
              </w:rPr>
              <w:t>4</w:t>
            </w:r>
            <w:r>
              <w:rPr>
                <w:rFonts w:ascii="Times New Roman" w:hAnsi="Times New Roman" w:cs="Calibri"/>
                <w:bCs/>
                <w:sz w:val="24"/>
                <w:szCs w:val="24"/>
              </w:rPr>
              <w:t>＜</w:t>
            </w:r>
            <w:r>
              <w:rPr>
                <w:rFonts w:ascii="Times New Roman" w:hAnsi="Times New Roman" w:cs="Calibri"/>
                <w:bCs/>
                <w:sz w:val="24"/>
                <w:szCs w:val="24"/>
              </w:rPr>
              <w:t>2.0</w:t>
            </w:r>
          </w:p>
        </w:tc>
        <w:tc>
          <w:tcPr>
            <w:tcW w:w="1559" w:type="dxa"/>
            <w:vAlign w:val="center"/>
          </w:tcPr>
          <w:p w14:paraId="5593857C"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2.0≤CH</w:t>
            </w:r>
            <w:r>
              <w:rPr>
                <w:rFonts w:ascii="Times New Roman" w:hAnsi="Times New Roman" w:cs="Calibri"/>
                <w:bCs/>
                <w:sz w:val="24"/>
                <w:szCs w:val="24"/>
                <w:vertAlign w:val="subscript"/>
              </w:rPr>
              <w:t>4</w:t>
            </w:r>
            <w:r>
              <w:rPr>
                <w:rFonts w:ascii="Times New Roman" w:hAnsi="Times New Roman" w:cs="Calibri"/>
                <w:bCs/>
                <w:sz w:val="24"/>
                <w:szCs w:val="24"/>
              </w:rPr>
              <w:t>＜</w:t>
            </w:r>
            <w:r>
              <w:rPr>
                <w:rFonts w:ascii="Times New Roman" w:hAnsi="Times New Roman" w:cs="Calibri"/>
                <w:bCs/>
                <w:sz w:val="24"/>
                <w:szCs w:val="24"/>
              </w:rPr>
              <w:t>3</w:t>
            </w:r>
          </w:p>
        </w:tc>
        <w:tc>
          <w:tcPr>
            <w:tcW w:w="1468" w:type="dxa"/>
            <w:vAlign w:val="center"/>
          </w:tcPr>
          <w:p w14:paraId="1774C6C8"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CH</w:t>
            </w:r>
            <w:r>
              <w:rPr>
                <w:rFonts w:ascii="Times New Roman" w:hAnsi="Times New Roman" w:cs="Calibri"/>
                <w:bCs/>
                <w:sz w:val="24"/>
                <w:szCs w:val="24"/>
                <w:vertAlign w:val="subscript"/>
              </w:rPr>
              <w:t>4</w:t>
            </w:r>
            <w:r>
              <w:rPr>
                <w:rFonts w:ascii="Times New Roman" w:hAnsi="Times New Roman" w:cs="Calibri"/>
                <w:bCs/>
                <w:sz w:val="24"/>
                <w:szCs w:val="24"/>
              </w:rPr>
              <w:t>≥3</w:t>
            </w:r>
          </w:p>
        </w:tc>
      </w:tr>
      <w:tr w:rsidR="008011AF" w14:paraId="6D12D27E" w14:textId="77777777">
        <w:trPr>
          <w:trHeight w:val="20"/>
        </w:trPr>
        <w:tc>
          <w:tcPr>
            <w:tcW w:w="1843" w:type="dxa"/>
            <w:vAlign w:val="center"/>
          </w:tcPr>
          <w:p w14:paraId="2CD4DB0C"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宋体"/>
                <w:bCs/>
                <w:sz w:val="24"/>
                <w:szCs w:val="24"/>
              </w:rPr>
              <w:t>T</w:t>
            </w:r>
            <w:r>
              <w:rPr>
                <w:rFonts w:ascii="Times New Roman" w:hAnsi="Times New Roman" w:cs="宋体"/>
                <w:bCs/>
                <w:sz w:val="24"/>
                <w:szCs w:val="24"/>
              </w:rPr>
              <w:t>＜</w:t>
            </w:r>
            <w:r>
              <w:rPr>
                <w:rFonts w:ascii="Times New Roman" w:hAnsi="Times New Roman" w:cs="宋体"/>
                <w:bCs/>
                <w:sz w:val="24"/>
                <w:szCs w:val="24"/>
              </w:rPr>
              <w:t>5</w:t>
            </w:r>
          </w:p>
        </w:tc>
        <w:tc>
          <w:tcPr>
            <w:tcW w:w="1699" w:type="dxa"/>
            <w:vAlign w:val="center"/>
          </w:tcPr>
          <w:p w14:paraId="7CE425C3" w14:textId="77777777" w:rsidR="008011AF" w:rsidRDefault="00000000">
            <w:pPr>
              <w:spacing w:line="240" w:lineRule="auto"/>
              <w:ind w:firstLineChars="0" w:firstLine="0"/>
              <w:jc w:val="center"/>
              <w:rPr>
                <w:rFonts w:ascii="Times New Roman" w:hAnsi="Times New Roman" w:cs="Calibri"/>
                <w:sz w:val="24"/>
                <w:szCs w:val="24"/>
              </w:rPr>
            </w:pPr>
            <w:commentRangeStart w:id="4"/>
            <w:r>
              <w:rPr>
                <w:rFonts w:ascii="Times New Roman" w:hAnsi="Times New Roman" w:cs="Calibri" w:hint="eastAsia"/>
                <w:sz w:val="24"/>
                <w:szCs w:val="24"/>
              </w:rPr>
              <w:t>蓝</w:t>
            </w:r>
            <w:commentRangeEnd w:id="4"/>
            <w:r>
              <w:rPr>
                <w:rStyle w:val="ad"/>
              </w:rPr>
              <w:commentReference w:id="4"/>
            </w:r>
          </w:p>
        </w:tc>
        <w:tc>
          <w:tcPr>
            <w:tcW w:w="1703" w:type="dxa"/>
            <w:vAlign w:val="center"/>
          </w:tcPr>
          <w:p w14:paraId="53ACC370"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sz w:val="24"/>
                <w:szCs w:val="24"/>
              </w:rPr>
              <w:t>黄</w:t>
            </w:r>
          </w:p>
        </w:tc>
        <w:tc>
          <w:tcPr>
            <w:tcW w:w="1559" w:type="dxa"/>
            <w:vAlign w:val="center"/>
          </w:tcPr>
          <w:p w14:paraId="25D293D4"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sz w:val="24"/>
                <w:szCs w:val="24"/>
              </w:rPr>
              <w:t>橙</w:t>
            </w:r>
          </w:p>
        </w:tc>
        <w:tc>
          <w:tcPr>
            <w:tcW w:w="1468" w:type="dxa"/>
            <w:vAlign w:val="center"/>
          </w:tcPr>
          <w:p w14:paraId="1A7DF453"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sz w:val="24"/>
                <w:szCs w:val="24"/>
              </w:rPr>
              <w:t>橙</w:t>
            </w:r>
          </w:p>
        </w:tc>
      </w:tr>
      <w:tr w:rsidR="008011AF" w14:paraId="54E204BC" w14:textId="77777777">
        <w:trPr>
          <w:trHeight w:val="20"/>
        </w:trPr>
        <w:tc>
          <w:tcPr>
            <w:tcW w:w="1843" w:type="dxa"/>
            <w:vAlign w:val="center"/>
          </w:tcPr>
          <w:p w14:paraId="06220A69"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5≤</w:t>
            </w:r>
            <w:r>
              <w:rPr>
                <w:rFonts w:ascii="Times New Roman" w:hAnsi="Times New Roman" w:cs="宋体"/>
                <w:bCs/>
                <w:sz w:val="24"/>
                <w:szCs w:val="24"/>
              </w:rPr>
              <w:t>T&lt;10</w:t>
            </w:r>
          </w:p>
        </w:tc>
        <w:tc>
          <w:tcPr>
            <w:tcW w:w="1699" w:type="dxa"/>
            <w:vAlign w:val="center"/>
          </w:tcPr>
          <w:p w14:paraId="62F62181"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sz w:val="24"/>
                <w:szCs w:val="24"/>
              </w:rPr>
              <w:t>黄</w:t>
            </w:r>
          </w:p>
        </w:tc>
        <w:tc>
          <w:tcPr>
            <w:tcW w:w="1703" w:type="dxa"/>
            <w:vAlign w:val="center"/>
          </w:tcPr>
          <w:p w14:paraId="17703705"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sz w:val="24"/>
                <w:szCs w:val="24"/>
              </w:rPr>
              <w:t>橙</w:t>
            </w:r>
          </w:p>
        </w:tc>
        <w:tc>
          <w:tcPr>
            <w:tcW w:w="1559" w:type="dxa"/>
            <w:vAlign w:val="center"/>
          </w:tcPr>
          <w:p w14:paraId="46FB7689"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sz w:val="24"/>
                <w:szCs w:val="24"/>
              </w:rPr>
              <w:t>橙</w:t>
            </w:r>
          </w:p>
        </w:tc>
        <w:tc>
          <w:tcPr>
            <w:tcW w:w="1468" w:type="dxa"/>
            <w:vAlign w:val="center"/>
          </w:tcPr>
          <w:p w14:paraId="37FF36B1"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hint="eastAsia"/>
                <w:sz w:val="24"/>
                <w:szCs w:val="24"/>
              </w:rPr>
              <w:t>红</w:t>
            </w:r>
          </w:p>
        </w:tc>
      </w:tr>
      <w:tr w:rsidR="008011AF" w14:paraId="1F84778F" w14:textId="77777777">
        <w:trPr>
          <w:trHeight w:val="20"/>
        </w:trPr>
        <w:tc>
          <w:tcPr>
            <w:tcW w:w="1843" w:type="dxa"/>
            <w:vAlign w:val="center"/>
          </w:tcPr>
          <w:p w14:paraId="7DDC715E"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宋体"/>
                <w:bCs/>
                <w:sz w:val="24"/>
                <w:szCs w:val="24"/>
              </w:rPr>
              <w:t>T≥10</w:t>
            </w:r>
          </w:p>
        </w:tc>
        <w:tc>
          <w:tcPr>
            <w:tcW w:w="1699" w:type="dxa"/>
            <w:vAlign w:val="center"/>
          </w:tcPr>
          <w:p w14:paraId="0CF61185"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sz w:val="24"/>
                <w:szCs w:val="24"/>
              </w:rPr>
              <w:t>橙</w:t>
            </w:r>
          </w:p>
        </w:tc>
        <w:tc>
          <w:tcPr>
            <w:tcW w:w="1703" w:type="dxa"/>
            <w:vAlign w:val="center"/>
          </w:tcPr>
          <w:p w14:paraId="570AE438"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hint="eastAsia"/>
                <w:sz w:val="24"/>
                <w:szCs w:val="24"/>
              </w:rPr>
              <w:t>红</w:t>
            </w:r>
          </w:p>
        </w:tc>
        <w:tc>
          <w:tcPr>
            <w:tcW w:w="1559" w:type="dxa"/>
            <w:vAlign w:val="center"/>
          </w:tcPr>
          <w:p w14:paraId="57E22E6E"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hint="eastAsia"/>
                <w:sz w:val="24"/>
                <w:szCs w:val="24"/>
              </w:rPr>
              <w:t>红</w:t>
            </w:r>
          </w:p>
        </w:tc>
        <w:tc>
          <w:tcPr>
            <w:tcW w:w="1468" w:type="dxa"/>
            <w:vAlign w:val="center"/>
          </w:tcPr>
          <w:p w14:paraId="1B1C15FE"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hint="eastAsia"/>
                <w:sz w:val="24"/>
                <w:szCs w:val="24"/>
              </w:rPr>
              <w:t>红</w:t>
            </w:r>
          </w:p>
        </w:tc>
      </w:tr>
    </w:tbl>
    <w:p w14:paraId="37EB6AF6" w14:textId="77777777" w:rsidR="008011AF" w:rsidRDefault="00000000">
      <w:pPr>
        <w:ind w:firstLine="560"/>
        <w:rPr>
          <w:rFonts w:ascii="Times New Roman" w:hAnsi="Times New Roman" w:cs="Calibri"/>
          <w:sz w:val="28"/>
          <w:szCs w:val="28"/>
        </w:rPr>
      </w:pPr>
      <w:r>
        <w:rPr>
          <w:rFonts w:ascii="Times New Roman" w:hAnsi="Times New Roman" w:cs="Calibri" w:hint="eastAsia"/>
          <w:sz w:val="28"/>
          <w:szCs w:val="28"/>
        </w:rPr>
        <w:t>2.CO</w:t>
      </w:r>
      <w:r>
        <w:rPr>
          <w:rFonts w:ascii="Times New Roman" w:hAnsi="Times New Roman" w:cs="Calibri" w:hint="eastAsia"/>
          <w:sz w:val="28"/>
          <w:szCs w:val="28"/>
        </w:rPr>
        <w:t>监测数据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699"/>
        <w:gridCol w:w="1703"/>
        <w:gridCol w:w="1701"/>
        <w:gridCol w:w="1326"/>
      </w:tblGrid>
      <w:tr w:rsidR="008011AF" w14:paraId="56B545C3" w14:textId="77777777">
        <w:trPr>
          <w:trHeight w:val="20"/>
        </w:trPr>
        <w:tc>
          <w:tcPr>
            <w:tcW w:w="1843" w:type="dxa"/>
            <w:vMerge w:val="restart"/>
            <w:vAlign w:val="center"/>
          </w:tcPr>
          <w:p w14:paraId="5D733A2E" w14:textId="77777777" w:rsidR="008011AF" w:rsidRDefault="00000000">
            <w:pPr>
              <w:spacing w:line="240" w:lineRule="auto"/>
              <w:ind w:firstLineChars="0" w:firstLine="0"/>
              <w:jc w:val="center"/>
              <w:rPr>
                <w:rFonts w:ascii="Times New Roman" w:hAnsi="Times New Roman" w:cs="Calibri"/>
                <w:bCs/>
                <w:sz w:val="24"/>
                <w:szCs w:val="24"/>
              </w:rPr>
            </w:pPr>
            <w:commentRangeStart w:id="5"/>
            <w:r>
              <w:rPr>
                <w:rFonts w:ascii="Times New Roman" w:hAnsi="Times New Roman" w:cs="Calibri"/>
                <w:bCs/>
                <w:sz w:val="24"/>
                <w:szCs w:val="24"/>
              </w:rPr>
              <w:t>时长（</w:t>
            </w:r>
            <w:r>
              <w:rPr>
                <w:rFonts w:ascii="Times New Roman" w:hAnsi="Times New Roman" w:cs="Calibri"/>
                <w:bCs/>
                <w:sz w:val="24"/>
                <w:szCs w:val="24"/>
              </w:rPr>
              <w:t>T</w:t>
            </w:r>
            <w:r>
              <w:rPr>
                <w:rFonts w:ascii="Times New Roman" w:hAnsi="Times New Roman" w:cs="Calibri"/>
                <w:bCs/>
                <w:sz w:val="24"/>
                <w:szCs w:val="24"/>
              </w:rPr>
              <w:t>）</w:t>
            </w:r>
            <w:r>
              <w:rPr>
                <w:rFonts w:ascii="Times New Roman" w:hAnsi="Times New Roman" w:cs="Calibri"/>
                <w:bCs/>
                <w:sz w:val="24"/>
                <w:szCs w:val="24"/>
              </w:rPr>
              <w:t>min</w:t>
            </w:r>
            <w:commentRangeEnd w:id="5"/>
            <w:r>
              <w:rPr>
                <w:rStyle w:val="ad"/>
              </w:rPr>
              <w:commentReference w:id="5"/>
            </w:r>
          </w:p>
        </w:tc>
        <w:tc>
          <w:tcPr>
            <w:tcW w:w="6429" w:type="dxa"/>
            <w:gridSpan w:val="4"/>
            <w:vAlign w:val="center"/>
          </w:tcPr>
          <w:p w14:paraId="17A6F912" w14:textId="77777777" w:rsidR="008011AF" w:rsidRDefault="00000000">
            <w:pPr>
              <w:spacing w:line="240" w:lineRule="auto"/>
              <w:ind w:firstLineChars="0" w:firstLine="0"/>
              <w:jc w:val="center"/>
              <w:rPr>
                <w:rFonts w:ascii="Times New Roman" w:hAnsi="Times New Roman" w:cs="Calibri"/>
                <w:bCs/>
                <w:sz w:val="24"/>
                <w:szCs w:val="24"/>
              </w:rPr>
            </w:pPr>
            <w:commentRangeStart w:id="6"/>
            <w:r>
              <w:rPr>
                <w:rFonts w:ascii="Times New Roman" w:hAnsi="Times New Roman" w:cs="Calibri"/>
                <w:bCs/>
                <w:sz w:val="24"/>
                <w:szCs w:val="24"/>
              </w:rPr>
              <w:t>CO</w:t>
            </w:r>
            <w:r>
              <w:rPr>
                <w:rFonts w:ascii="Times New Roman" w:hAnsi="Times New Roman" w:cs="Calibri"/>
                <w:bCs/>
                <w:sz w:val="24"/>
                <w:szCs w:val="24"/>
              </w:rPr>
              <w:t>浓度（</w:t>
            </w:r>
            <w:r>
              <w:rPr>
                <w:rFonts w:ascii="Times New Roman" w:hAnsi="Times New Roman" w:cs="Calibri"/>
                <w:bCs/>
                <w:sz w:val="24"/>
                <w:szCs w:val="24"/>
              </w:rPr>
              <w:t>ppm</w:t>
            </w:r>
            <w:r>
              <w:rPr>
                <w:rFonts w:ascii="Times New Roman" w:hAnsi="Times New Roman" w:cs="Calibri"/>
                <w:bCs/>
                <w:sz w:val="24"/>
                <w:szCs w:val="24"/>
              </w:rPr>
              <w:t>）</w:t>
            </w:r>
            <w:commentRangeEnd w:id="6"/>
            <w:r>
              <w:rPr>
                <w:rStyle w:val="ad"/>
              </w:rPr>
              <w:commentReference w:id="6"/>
            </w:r>
          </w:p>
        </w:tc>
      </w:tr>
      <w:tr w:rsidR="008011AF" w14:paraId="26BA7209" w14:textId="77777777">
        <w:trPr>
          <w:trHeight w:val="20"/>
        </w:trPr>
        <w:tc>
          <w:tcPr>
            <w:tcW w:w="1843" w:type="dxa"/>
            <w:vMerge/>
            <w:vAlign w:val="center"/>
          </w:tcPr>
          <w:p w14:paraId="03423CDC" w14:textId="77777777" w:rsidR="008011AF" w:rsidRDefault="008011AF">
            <w:pPr>
              <w:spacing w:line="240" w:lineRule="auto"/>
              <w:ind w:firstLineChars="0" w:firstLine="0"/>
              <w:jc w:val="center"/>
              <w:rPr>
                <w:rFonts w:ascii="Times New Roman" w:hAnsi="Times New Roman" w:cs="Calibri"/>
                <w:bCs/>
                <w:sz w:val="24"/>
                <w:szCs w:val="24"/>
              </w:rPr>
            </w:pPr>
          </w:p>
        </w:tc>
        <w:tc>
          <w:tcPr>
            <w:tcW w:w="1699" w:type="dxa"/>
            <w:vAlign w:val="center"/>
          </w:tcPr>
          <w:p w14:paraId="1F25706E"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24≤CO</w:t>
            </w:r>
            <w:r>
              <w:rPr>
                <w:rFonts w:ascii="Times New Roman" w:hAnsi="Times New Roman" w:cs="Calibri"/>
                <w:bCs/>
                <w:sz w:val="24"/>
                <w:szCs w:val="24"/>
              </w:rPr>
              <w:t>＜</w:t>
            </w:r>
            <w:r>
              <w:rPr>
                <w:rFonts w:ascii="Times New Roman" w:hAnsi="Times New Roman" w:cs="Calibri" w:hint="eastAsia"/>
                <w:bCs/>
                <w:sz w:val="24"/>
                <w:szCs w:val="24"/>
              </w:rPr>
              <w:t>100</w:t>
            </w:r>
          </w:p>
        </w:tc>
        <w:tc>
          <w:tcPr>
            <w:tcW w:w="1703" w:type="dxa"/>
            <w:vAlign w:val="center"/>
          </w:tcPr>
          <w:p w14:paraId="7A5701C1"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hint="eastAsia"/>
                <w:bCs/>
                <w:sz w:val="24"/>
                <w:szCs w:val="24"/>
              </w:rPr>
              <w:t>100</w:t>
            </w:r>
            <w:r>
              <w:rPr>
                <w:rFonts w:ascii="Times New Roman" w:hAnsi="Times New Roman" w:cs="Calibri"/>
                <w:bCs/>
                <w:sz w:val="24"/>
                <w:szCs w:val="24"/>
              </w:rPr>
              <w:t>≤CO</w:t>
            </w:r>
            <w:r>
              <w:rPr>
                <w:rFonts w:ascii="Times New Roman" w:hAnsi="Times New Roman" w:cs="Calibri"/>
                <w:bCs/>
                <w:sz w:val="24"/>
                <w:szCs w:val="24"/>
              </w:rPr>
              <w:t>＜</w:t>
            </w:r>
            <w:r>
              <w:rPr>
                <w:rFonts w:ascii="Times New Roman" w:hAnsi="Times New Roman" w:cs="Calibri" w:hint="eastAsia"/>
                <w:bCs/>
                <w:sz w:val="24"/>
                <w:szCs w:val="24"/>
              </w:rPr>
              <w:t>3</w:t>
            </w:r>
            <w:r>
              <w:rPr>
                <w:rFonts w:ascii="Times New Roman" w:hAnsi="Times New Roman" w:cs="Calibri"/>
                <w:bCs/>
                <w:sz w:val="24"/>
                <w:szCs w:val="24"/>
              </w:rPr>
              <w:t>00</w:t>
            </w:r>
          </w:p>
        </w:tc>
        <w:tc>
          <w:tcPr>
            <w:tcW w:w="1701" w:type="dxa"/>
            <w:vAlign w:val="center"/>
          </w:tcPr>
          <w:p w14:paraId="76EB3921"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hint="eastAsia"/>
                <w:bCs/>
                <w:sz w:val="24"/>
                <w:szCs w:val="24"/>
              </w:rPr>
              <w:t>3</w:t>
            </w:r>
            <w:r>
              <w:rPr>
                <w:rFonts w:ascii="Times New Roman" w:hAnsi="Times New Roman" w:cs="Calibri"/>
                <w:bCs/>
                <w:sz w:val="24"/>
                <w:szCs w:val="24"/>
              </w:rPr>
              <w:t>00≤CO</w:t>
            </w:r>
            <w:r>
              <w:rPr>
                <w:rFonts w:ascii="Times New Roman" w:hAnsi="Times New Roman" w:cs="Calibri"/>
                <w:bCs/>
                <w:sz w:val="24"/>
                <w:szCs w:val="24"/>
              </w:rPr>
              <w:t>＜</w:t>
            </w:r>
            <w:r>
              <w:rPr>
                <w:rFonts w:ascii="Times New Roman" w:hAnsi="Times New Roman" w:cs="Calibri" w:hint="eastAsia"/>
                <w:bCs/>
                <w:sz w:val="24"/>
                <w:szCs w:val="24"/>
              </w:rPr>
              <w:t>5</w:t>
            </w:r>
            <w:r>
              <w:rPr>
                <w:rFonts w:ascii="Times New Roman" w:hAnsi="Times New Roman" w:cs="Calibri"/>
                <w:bCs/>
                <w:sz w:val="24"/>
                <w:szCs w:val="24"/>
              </w:rPr>
              <w:t>00</w:t>
            </w:r>
          </w:p>
        </w:tc>
        <w:tc>
          <w:tcPr>
            <w:tcW w:w="1326" w:type="dxa"/>
            <w:vAlign w:val="center"/>
          </w:tcPr>
          <w:p w14:paraId="38FB961C"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CO≥</w:t>
            </w:r>
            <w:r>
              <w:rPr>
                <w:rFonts w:ascii="Times New Roman" w:hAnsi="Times New Roman" w:cs="Calibri" w:hint="eastAsia"/>
                <w:bCs/>
                <w:sz w:val="24"/>
                <w:szCs w:val="24"/>
              </w:rPr>
              <w:t>5</w:t>
            </w:r>
            <w:r>
              <w:rPr>
                <w:rFonts w:ascii="Times New Roman" w:hAnsi="Times New Roman" w:cs="Calibri"/>
                <w:bCs/>
                <w:sz w:val="24"/>
                <w:szCs w:val="24"/>
              </w:rPr>
              <w:t>00</w:t>
            </w:r>
          </w:p>
        </w:tc>
      </w:tr>
      <w:tr w:rsidR="008011AF" w14:paraId="41CBC11D" w14:textId="77777777">
        <w:trPr>
          <w:trHeight w:val="20"/>
        </w:trPr>
        <w:tc>
          <w:tcPr>
            <w:tcW w:w="1843" w:type="dxa"/>
            <w:vAlign w:val="center"/>
          </w:tcPr>
          <w:p w14:paraId="59B59025"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宋体"/>
                <w:bCs/>
                <w:sz w:val="24"/>
                <w:szCs w:val="24"/>
              </w:rPr>
              <w:t>T</w:t>
            </w:r>
            <w:r>
              <w:rPr>
                <w:rFonts w:ascii="Times New Roman" w:hAnsi="Times New Roman" w:cs="宋体"/>
                <w:bCs/>
                <w:sz w:val="24"/>
                <w:szCs w:val="24"/>
              </w:rPr>
              <w:t>＜</w:t>
            </w:r>
            <w:r>
              <w:rPr>
                <w:rFonts w:ascii="Times New Roman" w:hAnsi="Times New Roman" w:cs="宋体"/>
                <w:bCs/>
                <w:sz w:val="24"/>
                <w:szCs w:val="24"/>
              </w:rPr>
              <w:t>20</w:t>
            </w:r>
          </w:p>
        </w:tc>
        <w:tc>
          <w:tcPr>
            <w:tcW w:w="1699" w:type="dxa"/>
            <w:vAlign w:val="center"/>
          </w:tcPr>
          <w:p w14:paraId="2567C338"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hint="eastAsia"/>
                <w:bCs/>
                <w:sz w:val="24"/>
                <w:szCs w:val="24"/>
              </w:rPr>
              <w:t>蓝</w:t>
            </w:r>
          </w:p>
        </w:tc>
        <w:tc>
          <w:tcPr>
            <w:tcW w:w="1703" w:type="dxa"/>
            <w:vAlign w:val="center"/>
          </w:tcPr>
          <w:p w14:paraId="18B904C7"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黄</w:t>
            </w:r>
          </w:p>
        </w:tc>
        <w:tc>
          <w:tcPr>
            <w:tcW w:w="1701" w:type="dxa"/>
            <w:vAlign w:val="center"/>
          </w:tcPr>
          <w:p w14:paraId="0CF8FA12"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黄</w:t>
            </w:r>
          </w:p>
        </w:tc>
        <w:tc>
          <w:tcPr>
            <w:tcW w:w="1326" w:type="dxa"/>
            <w:vAlign w:val="center"/>
          </w:tcPr>
          <w:p w14:paraId="469E4BB9"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红</w:t>
            </w:r>
          </w:p>
        </w:tc>
      </w:tr>
      <w:tr w:rsidR="008011AF" w14:paraId="3B4EA883" w14:textId="77777777">
        <w:trPr>
          <w:trHeight w:val="20"/>
        </w:trPr>
        <w:tc>
          <w:tcPr>
            <w:tcW w:w="1843" w:type="dxa"/>
            <w:vAlign w:val="center"/>
          </w:tcPr>
          <w:p w14:paraId="40BC4542"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20≤</w:t>
            </w:r>
            <w:r>
              <w:rPr>
                <w:rFonts w:ascii="Times New Roman" w:hAnsi="Times New Roman" w:cs="宋体"/>
                <w:bCs/>
                <w:sz w:val="24"/>
                <w:szCs w:val="24"/>
              </w:rPr>
              <w:t xml:space="preserve"> T</w:t>
            </w:r>
            <w:r>
              <w:rPr>
                <w:rFonts w:ascii="Times New Roman" w:hAnsi="Times New Roman" w:cs="宋体"/>
                <w:bCs/>
                <w:sz w:val="24"/>
                <w:szCs w:val="24"/>
              </w:rPr>
              <w:t>＜</w:t>
            </w:r>
            <w:r>
              <w:rPr>
                <w:rFonts w:ascii="Times New Roman" w:hAnsi="Times New Roman" w:cs="宋体"/>
                <w:bCs/>
                <w:sz w:val="24"/>
                <w:szCs w:val="24"/>
              </w:rPr>
              <w:t>30</w:t>
            </w:r>
          </w:p>
        </w:tc>
        <w:tc>
          <w:tcPr>
            <w:tcW w:w="1699" w:type="dxa"/>
            <w:vAlign w:val="center"/>
          </w:tcPr>
          <w:p w14:paraId="11B9D902"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黄</w:t>
            </w:r>
          </w:p>
        </w:tc>
        <w:tc>
          <w:tcPr>
            <w:tcW w:w="1703" w:type="dxa"/>
            <w:vAlign w:val="center"/>
          </w:tcPr>
          <w:p w14:paraId="21C6E803"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橙</w:t>
            </w:r>
          </w:p>
        </w:tc>
        <w:tc>
          <w:tcPr>
            <w:tcW w:w="1701" w:type="dxa"/>
            <w:vAlign w:val="center"/>
          </w:tcPr>
          <w:p w14:paraId="66BF7D1A"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红</w:t>
            </w:r>
          </w:p>
        </w:tc>
        <w:tc>
          <w:tcPr>
            <w:tcW w:w="1326" w:type="dxa"/>
            <w:vAlign w:val="center"/>
          </w:tcPr>
          <w:p w14:paraId="5B2F2942"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hint="eastAsia"/>
                <w:bCs/>
                <w:sz w:val="24"/>
                <w:szCs w:val="24"/>
              </w:rPr>
              <w:t>红</w:t>
            </w:r>
          </w:p>
        </w:tc>
      </w:tr>
      <w:tr w:rsidR="008011AF" w14:paraId="0788CA66" w14:textId="77777777">
        <w:trPr>
          <w:trHeight w:val="20"/>
        </w:trPr>
        <w:tc>
          <w:tcPr>
            <w:tcW w:w="1843" w:type="dxa"/>
            <w:vAlign w:val="center"/>
          </w:tcPr>
          <w:p w14:paraId="53A373C5"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宋体"/>
                <w:bCs/>
                <w:sz w:val="24"/>
                <w:szCs w:val="24"/>
              </w:rPr>
              <w:t>T≥30</w:t>
            </w:r>
          </w:p>
        </w:tc>
        <w:tc>
          <w:tcPr>
            <w:tcW w:w="1699" w:type="dxa"/>
            <w:vAlign w:val="center"/>
          </w:tcPr>
          <w:p w14:paraId="409D1FAA"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hint="eastAsia"/>
                <w:bCs/>
                <w:sz w:val="24"/>
                <w:szCs w:val="24"/>
              </w:rPr>
              <w:t>红</w:t>
            </w:r>
          </w:p>
        </w:tc>
        <w:tc>
          <w:tcPr>
            <w:tcW w:w="1703" w:type="dxa"/>
            <w:vAlign w:val="center"/>
          </w:tcPr>
          <w:p w14:paraId="66D48117"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hint="eastAsia"/>
                <w:bCs/>
                <w:sz w:val="24"/>
                <w:szCs w:val="24"/>
              </w:rPr>
              <w:t>红</w:t>
            </w:r>
          </w:p>
        </w:tc>
        <w:tc>
          <w:tcPr>
            <w:tcW w:w="1701" w:type="dxa"/>
            <w:vAlign w:val="center"/>
          </w:tcPr>
          <w:p w14:paraId="01694260"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hint="eastAsia"/>
                <w:bCs/>
                <w:sz w:val="24"/>
                <w:szCs w:val="24"/>
              </w:rPr>
              <w:t>红</w:t>
            </w:r>
          </w:p>
        </w:tc>
        <w:tc>
          <w:tcPr>
            <w:tcW w:w="1326" w:type="dxa"/>
            <w:vAlign w:val="center"/>
          </w:tcPr>
          <w:p w14:paraId="3E240962"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hint="eastAsia"/>
                <w:bCs/>
                <w:sz w:val="24"/>
                <w:szCs w:val="24"/>
              </w:rPr>
              <w:t>红</w:t>
            </w:r>
          </w:p>
        </w:tc>
      </w:tr>
    </w:tbl>
    <w:p w14:paraId="25C9692C" w14:textId="77777777" w:rsidR="008011AF" w:rsidRDefault="00000000">
      <w:pPr>
        <w:ind w:firstLine="560"/>
        <w:rPr>
          <w:rFonts w:ascii="Times New Roman" w:hAnsi="Times New Roman" w:cs="Calibri"/>
          <w:szCs w:val="24"/>
        </w:rPr>
      </w:pPr>
      <w:r>
        <w:rPr>
          <w:rFonts w:ascii="Times New Roman" w:hAnsi="Times New Roman" w:cs="Calibri" w:hint="eastAsia"/>
          <w:sz w:val="28"/>
          <w:szCs w:val="28"/>
        </w:rPr>
        <w:t>3.</w:t>
      </w:r>
      <w:r>
        <w:rPr>
          <w:rFonts w:ascii="Times New Roman" w:hAnsi="Times New Roman" w:cs="Calibri" w:hint="eastAsia"/>
          <w:sz w:val="28"/>
          <w:szCs w:val="28"/>
        </w:rPr>
        <w:t>主通风机</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8011AF" w14:paraId="0640EA22" w14:textId="77777777">
        <w:trPr>
          <w:trHeight w:val="20"/>
          <w:jc w:val="center"/>
        </w:trPr>
        <w:tc>
          <w:tcPr>
            <w:tcW w:w="8505" w:type="dxa"/>
          </w:tcPr>
          <w:p w14:paraId="3AD486B7"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主通风机主备</w:t>
            </w:r>
            <w:r>
              <w:rPr>
                <w:rFonts w:ascii="Times New Roman" w:hAnsi="Times New Roman" w:cs="Calibri" w:hint="eastAsia"/>
                <w:bCs/>
                <w:sz w:val="24"/>
                <w:szCs w:val="24"/>
              </w:rPr>
              <w:t>机</w:t>
            </w:r>
            <w:r>
              <w:rPr>
                <w:rFonts w:ascii="Times New Roman" w:hAnsi="Times New Roman" w:cs="Calibri"/>
                <w:bCs/>
                <w:sz w:val="24"/>
                <w:szCs w:val="24"/>
              </w:rPr>
              <w:t>全停</w:t>
            </w:r>
            <w:r>
              <w:rPr>
                <w:rFonts w:ascii="Times New Roman" w:hAnsi="Times New Roman" w:cs="Calibri" w:hint="eastAsia"/>
                <w:bCs/>
                <w:sz w:val="24"/>
                <w:szCs w:val="24"/>
              </w:rPr>
              <w:t>时长（</w:t>
            </w:r>
            <w:r>
              <w:rPr>
                <w:rFonts w:ascii="Times New Roman" w:hAnsi="Times New Roman" w:cs="Calibri" w:hint="eastAsia"/>
                <w:bCs/>
                <w:sz w:val="24"/>
                <w:szCs w:val="24"/>
              </w:rPr>
              <w:t>T</w:t>
            </w:r>
            <w:r>
              <w:rPr>
                <w:rFonts w:ascii="Times New Roman" w:hAnsi="Times New Roman" w:cs="Calibri" w:hint="eastAsia"/>
                <w:bCs/>
                <w:sz w:val="24"/>
                <w:szCs w:val="24"/>
              </w:rPr>
              <w:t>）</w:t>
            </w:r>
            <w:r>
              <w:rPr>
                <w:rFonts w:ascii="Times New Roman" w:hAnsi="Times New Roman" w:cs="Calibri" w:hint="eastAsia"/>
                <w:bCs/>
                <w:sz w:val="24"/>
                <w:szCs w:val="24"/>
              </w:rPr>
              <w:t>min</w:t>
            </w:r>
          </w:p>
        </w:tc>
      </w:tr>
      <w:tr w:rsidR="008011AF" w14:paraId="00FAAA21" w14:textId="77777777">
        <w:trPr>
          <w:trHeight w:val="20"/>
          <w:jc w:val="center"/>
        </w:trPr>
        <w:tc>
          <w:tcPr>
            <w:tcW w:w="8505" w:type="dxa"/>
          </w:tcPr>
          <w:p w14:paraId="0362D10E"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T≥</w:t>
            </w:r>
            <w:r>
              <w:rPr>
                <w:rFonts w:ascii="Times New Roman" w:hAnsi="Times New Roman" w:cs="Calibri" w:hint="eastAsia"/>
                <w:bCs/>
                <w:sz w:val="24"/>
                <w:szCs w:val="24"/>
              </w:rPr>
              <w:t>1</w:t>
            </w:r>
            <w:r>
              <w:rPr>
                <w:rFonts w:ascii="Times New Roman" w:hAnsi="Times New Roman" w:cs="Calibri"/>
                <w:bCs/>
                <w:sz w:val="24"/>
                <w:szCs w:val="24"/>
              </w:rPr>
              <w:t>0</w:t>
            </w:r>
          </w:p>
        </w:tc>
      </w:tr>
      <w:tr w:rsidR="008011AF" w14:paraId="3B765976" w14:textId="77777777">
        <w:trPr>
          <w:trHeight w:val="20"/>
          <w:jc w:val="center"/>
        </w:trPr>
        <w:tc>
          <w:tcPr>
            <w:tcW w:w="8505" w:type="dxa"/>
          </w:tcPr>
          <w:p w14:paraId="2B5D75A1"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hint="eastAsia"/>
                <w:bCs/>
                <w:sz w:val="24"/>
                <w:szCs w:val="24"/>
              </w:rPr>
              <w:t>红</w:t>
            </w:r>
          </w:p>
        </w:tc>
      </w:tr>
    </w:tbl>
    <w:p w14:paraId="4652DD25" w14:textId="77777777" w:rsidR="008011AF" w:rsidRDefault="00000000">
      <w:pPr>
        <w:ind w:firstLine="560"/>
        <w:rPr>
          <w:rFonts w:ascii="Times New Roman" w:hAnsi="Times New Roman" w:cs="Calibri"/>
          <w:sz w:val="28"/>
          <w:szCs w:val="28"/>
        </w:rPr>
      </w:pPr>
      <w:r>
        <w:rPr>
          <w:rFonts w:ascii="Times New Roman" w:hAnsi="Times New Roman" w:cs="Calibri" w:hint="eastAsia"/>
          <w:sz w:val="28"/>
          <w:szCs w:val="28"/>
        </w:rPr>
        <w:t>4.</w:t>
      </w:r>
      <w:r>
        <w:rPr>
          <w:rFonts w:ascii="Times New Roman" w:hAnsi="Times New Roman" w:cs="Calibri" w:hint="eastAsia"/>
          <w:sz w:val="28"/>
          <w:szCs w:val="28"/>
        </w:rPr>
        <w:t>风筒</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126"/>
        <w:gridCol w:w="2127"/>
      </w:tblGrid>
      <w:tr w:rsidR="008011AF" w14:paraId="728CB6DE" w14:textId="77777777">
        <w:trPr>
          <w:trHeight w:val="20"/>
          <w:jc w:val="center"/>
        </w:trPr>
        <w:tc>
          <w:tcPr>
            <w:tcW w:w="6429" w:type="dxa"/>
            <w:gridSpan w:val="4"/>
          </w:tcPr>
          <w:p w14:paraId="73FAAB5B"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风筒</w:t>
            </w:r>
            <w:r>
              <w:rPr>
                <w:rFonts w:ascii="Times New Roman" w:hAnsi="Times New Roman" w:cs="Calibri" w:hint="eastAsia"/>
                <w:bCs/>
                <w:sz w:val="24"/>
                <w:szCs w:val="24"/>
              </w:rPr>
              <w:t>无风</w:t>
            </w:r>
            <w:r>
              <w:rPr>
                <w:rFonts w:ascii="Times New Roman" w:hAnsi="Times New Roman" w:cs="Calibri"/>
                <w:bCs/>
                <w:sz w:val="24"/>
                <w:szCs w:val="24"/>
              </w:rPr>
              <w:t>状态</w:t>
            </w:r>
            <w:r>
              <w:rPr>
                <w:rFonts w:ascii="Times New Roman" w:hAnsi="Times New Roman" w:cs="Calibri" w:hint="eastAsia"/>
                <w:bCs/>
                <w:sz w:val="24"/>
                <w:szCs w:val="24"/>
              </w:rPr>
              <w:t>时长（</w:t>
            </w:r>
            <w:r>
              <w:rPr>
                <w:rFonts w:ascii="Times New Roman" w:hAnsi="Times New Roman" w:cs="Calibri"/>
                <w:bCs/>
                <w:sz w:val="24"/>
                <w:szCs w:val="24"/>
              </w:rPr>
              <w:t>T</w:t>
            </w:r>
            <w:r>
              <w:rPr>
                <w:rFonts w:ascii="Times New Roman" w:hAnsi="Times New Roman" w:cs="Calibri"/>
                <w:bCs/>
                <w:sz w:val="24"/>
                <w:szCs w:val="24"/>
              </w:rPr>
              <w:t>）</w:t>
            </w:r>
            <w:r>
              <w:rPr>
                <w:rFonts w:ascii="Times New Roman" w:hAnsi="Times New Roman" w:cs="Calibri"/>
                <w:bCs/>
                <w:sz w:val="24"/>
                <w:szCs w:val="24"/>
              </w:rPr>
              <w:t>min</w:t>
            </w:r>
          </w:p>
        </w:tc>
      </w:tr>
      <w:tr w:rsidR="008011AF" w14:paraId="621A2E90" w14:textId="77777777">
        <w:trPr>
          <w:trHeight w:val="20"/>
          <w:jc w:val="center"/>
        </w:trPr>
        <w:tc>
          <w:tcPr>
            <w:tcW w:w="1607" w:type="dxa"/>
          </w:tcPr>
          <w:p w14:paraId="1B5069BF"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T</w:t>
            </w:r>
            <w:r>
              <w:rPr>
                <w:rFonts w:ascii="Times New Roman" w:hAnsi="Times New Roman" w:cs="Calibri"/>
                <w:bCs/>
                <w:sz w:val="24"/>
                <w:szCs w:val="24"/>
              </w:rPr>
              <w:t>＜</w:t>
            </w:r>
            <w:r>
              <w:rPr>
                <w:rFonts w:ascii="Times New Roman" w:hAnsi="Times New Roman" w:cs="Calibri"/>
                <w:bCs/>
                <w:sz w:val="24"/>
                <w:szCs w:val="24"/>
              </w:rPr>
              <w:t>10</w:t>
            </w:r>
          </w:p>
        </w:tc>
        <w:tc>
          <w:tcPr>
            <w:tcW w:w="1607" w:type="dxa"/>
          </w:tcPr>
          <w:p w14:paraId="76F58B0B"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10≤ T</w:t>
            </w:r>
            <w:r>
              <w:rPr>
                <w:rFonts w:ascii="Times New Roman" w:hAnsi="Times New Roman" w:cs="Calibri"/>
                <w:bCs/>
                <w:sz w:val="24"/>
                <w:szCs w:val="24"/>
              </w:rPr>
              <w:t>＜</w:t>
            </w:r>
            <w:r>
              <w:rPr>
                <w:rFonts w:ascii="Times New Roman" w:hAnsi="Times New Roman" w:cs="Calibri"/>
                <w:bCs/>
                <w:sz w:val="24"/>
                <w:szCs w:val="24"/>
              </w:rPr>
              <w:t>30</w:t>
            </w:r>
          </w:p>
        </w:tc>
        <w:tc>
          <w:tcPr>
            <w:tcW w:w="1607" w:type="dxa"/>
          </w:tcPr>
          <w:p w14:paraId="44E409DA"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30≤ T</w:t>
            </w:r>
            <w:r>
              <w:rPr>
                <w:rFonts w:ascii="Times New Roman" w:hAnsi="Times New Roman" w:cs="Calibri"/>
                <w:bCs/>
                <w:sz w:val="24"/>
                <w:szCs w:val="24"/>
              </w:rPr>
              <w:t>＜</w:t>
            </w:r>
            <w:r>
              <w:rPr>
                <w:rFonts w:ascii="Times New Roman" w:hAnsi="Times New Roman" w:cs="Calibri"/>
                <w:bCs/>
                <w:sz w:val="24"/>
                <w:szCs w:val="24"/>
              </w:rPr>
              <w:t>60</w:t>
            </w:r>
          </w:p>
        </w:tc>
        <w:tc>
          <w:tcPr>
            <w:tcW w:w="1608" w:type="dxa"/>
          </w:tcPr>
          <w:p w14:paraId="7B5AB68D"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T≥60</w:t>
            </w:r>
          </w:p>
        </w:tc>
      </w:tr>
      <w:tr w:rsidR="008011AF" w14:paraId="2AB399B5" w14:textId="77777777">
        <w:trPr>
          <w:trHeight w:val="20"/>
          <w:jc w:val="center"/>
        </w:trPr>
        <w:tc>
          <w:tcPr>
            <w:tcW w:w="1607" w:type="dxa"/>
            <w:vAlign w:val="center"/>
          </w:tcPr>
          <w:p w14:paraId="21794785"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蓝</w:t>
            </w:r>
          </w:p>
        </w:tc>
        <w:tc>
          <w:tcPr>
            <w:tcW w:w="1607" w:type="dxa"/>
            <w:vAlign w:val="center"/>
          </w:tcPr>
          <w:p w14:paraId="44B980CC"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黄</w:t>
            </w:r>
          </w:p>
        </w:tc>
        <w:tc>
          <w:tcPr>
            <w:tcW w:w="1607" w:type="dxa"/>
            <w:vAlign w:val="center"/>
          </w:tcPr>
          <w:p w14:paraId="1B8EF6E4"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hint="eastAsia"/>
                <w:bCs/>
                <w:sz w:val="24"/>
                <w:szCs w:val="24"/>
              </w:rPr>
              <w:t>橙</w:t>
            </w:r>
          </w:p>
        </w:tc>
        <w:tc>
          <w:tcPr>
            <w:tcW w:w="1608" w:type="dxa"/>
            <w:vAlign w:val="center"/>
          </w:tcPr>
          <w:p w14:paraId="56A24811"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红</w:t>
            </w:r>
          </w:p>
        </w:tc>
      </w:tr>
    </w:tbl>
    <w:p w14:paraId="471C6CF3" w14:textId="77777777" w:rsidR="008011AF" w:rsidRDefault="00000000">
      <w:pPr>
        <w:ind w:firstLine="560"/>
        <w:rPr>
          <w:rFonts w:ascii="Times New Roman" w:hAnsi="Times New Roman" w:cs="Calibri"/>
          <w:sz w:val="28"/>
          <w:szCs w:val="28"/>
        </w:rPr>
      </w:pPr>
      <w:r>
        <w:rPr>
          <w:rFonts w:ascii="Times New Roman" w:hAnsi="Times New Roman" w:cs="Calibri" w:hint="eastAsia"/>
          <w:sz w:val="28"/>
          <w:szCs w:val="28"/>
        </w:rPr>
        <w:t>5.</w:t>
      </w:r>
      <w:r>
        <w:rPr>
          <w:rFonts w:ascii="Times New Roman" w:hAnsi="Times New Roman" w:cs="Calibri" w:hint="eastAsia"/>
          <w:sz w:val="28"/>
          <w:szCs w:val="28"/>
        </w:rPr>
        <w:t>烟雾</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126"/>
        <w:gridCol w:w="2127"/>
      </w:tblGrid>
      <w:tr w:rsidR="008011AF" w14:paraId="326F0150" w14:textId="77777777">
        <w:trPr>
          <w:trHeight w:val="20"/>
          <w:jc w:val="center"/>
        </w:trPr>
        <w:tc>
          <w:tcPr>
            <w:tcW w:w="6429" w:type="dxa"/>
            <w:gridSpan w:val="4"/>
          </w:tcPr>
          <w:p w14:paraId="288C88F6"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烟雾</w:t>
            </w:r>
            <w:r>
              <w:rPr>
                <w:rFonts w:ascii="Times New Roman" w:hAnsi="Times New Roman" w:cs="Calibri" w:hint="eastAsia"/>
                <w:bCs/>
                <w:sz w:val="24"/>
                <w:szCs w:val="24"/>
              </w:rPr>
              <w:t>有烟</w:t>
            </w:r>
            <w:r>
              <w:rPr>
                <w:rFonts w:ascii="Times New Roman" w:hAnsi="Times New Roman" w:cs="Calibri"/>
                <w:bCs/>
                <w:sz w:val="24"/>
                <w:szCs w:val="24"/>
              </w:rPr>
              <w:t>状态</w:t>
            </w:r>
            <w:r>
              <w:rPr>
                <w:rFonts w:ascii="Times New Roman" w:hAnsi="Times New Roman" w:cs="Calibri" w:hint="eastAsia"/>
                <w:bCs/>
                <w:sz w:val="24"/>
                <w:szCs w:val="24"/>
              </w:rPr>
              <w:t>时长（</w:t>
            </w:r>
            <w:r>
              <w:rPr>
                <w:rFonts w:ascii="Times New Roman" w:hAnsi="Times New Roman" w:cs="Calibri"/>
                <w:bCs/>
                <w:sz w:val="24"/>
                <w:szCs w:val="24"/>
              </w:rPr>
              <w:t>T</w:t>
            </w:r>
            <w:r>
              <w:rPr>
                <w:rFonts w:ascii="Times New Roman" w:hAnsi="Times New Roman" w:cs="Calibri"/>
                <w:bCs/>
                <w:sz w:val="24"/>
                <w:szCs w:val="24"/>
              </w:rPr>
              <w:t>）</w:t>
            </w:r>
            <w:r>
              <w:rPr>
                <w:rFonts w:ascii="Times New Roman" w:hAnsi="Times New Roman" w:cs="Calibri"/>
                <w:bCs/>
                <w:sz w:val="24"/>
                <w:szCs w:val="24"/>
              </w:rPr>
              <w:t>min</w:t>
            </w:r>
          </w:p>
        </w:tc>
      </w:tr>
      <w:tr w:rsidR="008011AF" w14:paraId="7CCD5D45" w14:textId="77777777">
        <w:trPr>
          <w:trHeight w:val="20"/>
          <w:jc w:val="center"/>
        </w:trPr>
        <w:tc>
          <w:tcPr>
            <w:tcW w:w="1607" w:type="dxa"/>
          </w:tcPr>
          <w:p w14:paraId="67921986"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T</w:t>
            </w:r>
            <w:r>
              <w:rPr>
                <w:rFonts w:ascii="Times New Roman" w:hAnsi="Times New Roman" w:cs="Calibri"/>
                <w:bCs/>
                <w:sz w:val="24"/>
                <w:szCs w:val="24"/>
              </w:rPr>
              <w:t>＜</w:t>
            </w:r>
            <w:r>
              <w:rPr>
                <w:rFonts w:ascii="Times New Roman" w:hAnsi="Times New Roman" w:cs="Calibri" w:hint="eastAsia"/>
                <w:bCs/>
                <w:sz w:val="24"/>
                <w:szCs w:val="24"/>
              </w:rPr>
              <w:t>10</w:t>
            </w:r>
          </w:p>
        </w:tc>
        <w:tc>
          <w:tcPr>
            <w:tcW w:w="1607" w:type="dxa"/>
          </w:tcPr>
          <w:p w14:paraId="6AEA241C"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hint="eastAsia"/>
                <w:bCs/>
                <w:sz w:val="24"/>
                <w:szCs w:val="24"/>
              </w:rPr>
              <w:t>10</w:t>
            </w:r>
            <w:r>
              <w:rPr>
                <w:rFonts w:ascii="Times New Roman" w:hAnsi="Times New Roman" w:cs="Calibri"/>
                <w:bCs/>
                <w:sz w:val="24"/>
                <w:szCs w:val="24"/>
              </w:rPr>
              <w:t>≤ T</w:t>
            </w:r>
            <w:r>
              <w:rPr>
                <w:rFonts w:ascii="Times New Roman" w:hAnsi="Times New Roman" w:cs="Calibri"/>
                <w:bCs/>
                <w:sz w:val="24"/>
                <w:szCs w:val="24"/>
              </w:rPr>
              <w:t>＜</w:t>
            </w:r>
            <w:r>
              <w:rPr>
                <w:rFonts w:ascii="Times New Roman" w:hAnsi="Times New Roman" w:cs="Calibri" w:hint="eastAsia"/>
                <w:bCs/>
                <w:sz w:val="24"/>
                <w:szCs w:val="24"/>
              </w:rPr>
              <w:t>30</w:t>
            </w:r>
          </w:p>
        </w:tc>
        <w:tc>
          <w:tcPr>
            <w:tcW w:w="1607" w:type="dxa"/>
          </w:tcPr>
          <w:p w14:paraId="33783EBC"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hint="eastAsia"/>
                <w:bCs/>
                <w:sz w:val="24"/>
                <w:szCs w:val="24"/>
              </w:rPr>
              <w:t>30</w:t>
            </w:r>
            <w:r>
              <w:rPr>
                <w:rFonts w:ascii="Times New Roman" w:hAnsi="Times New Roman" w:cs="Calibri"/>
                <w:bCs/>
                <w:sz w:val="24"/>
                <w:szCs w:val="24"/>
              </w:rPr>
              <w:t>≤ T</w:t>
            </w:r>
            <w:r>
              <w:rPr>
                <w:rFonts w:ascii="Times New Roman" w:hAnsi="Times New Roman" w:cs="Calibri"/>
                <w:bCs/>
                <w:sz w:val="24"/>
                <w:szCs w:val="24"/>
              </w:rPr>
              <w:t>＜</w:t>
            </w:r>
            <w:r>
              <w:rPr>
                <w:rFonts w:ascii="Times New Roman" w:hAnsi="Times New Roman" w:cs="Calibri" w:hint="eastAsia"/>
                <w:bCs/>
                <w:sz w:val="24"/>
                <w:szCs w:val="24"/>
              </w:rPr>
              <w:t>60</w:t>
            </w:r>
          </w:p>
        </w:tc>
        <w:tc>
          <w:tcPr>
            <w:tcW w:w="1608" w:type="dxa"/>
          </w:tcPr>
          <w:p w14:paraId="270B6FD1"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T≥</w:t>
            </w:r>
            <w:r>
              <w:rPr>
                <w:rFonts w:ascii="Times New Roman" w:hAnsi="Times New Roman" w:cs="Calibri" w:hint="eastAsia"/>
                <w:bCs/>
                <w:sz w:val="24"/>
                <w:szCs w:val="24"/>
              </w:rPr>
              <w:t>6</w:t>
            </w:r>
            <w:r>
              <w:rPr>
                <w:rFonts w:ascii="Times New Roman" w:hAnsi="Times New Roman" w:cs="Calibri"/>
                <w:bCs/>
                <w:sz w:val="24"/>
                <w:szCs w:val="24"/>
              </w:rPr>
              <w:t>0</w:t>
            </w:r>
          </w:p>
        </w:tc>
      </w:tr>
      <w:tr w:rsidR="008011AF" w14:paraId="44EE275F" w14:textId="77777777">
        <w:trPr>
          <w:trHeight w:val="20"/>
          <w:jc w:val="center"/>
        </w:trPr>
        <w:tc>
          <w:tcPr>
            <w:tcW w:w="1607" w:type="dxa"/>
            <w:vAlign w:val="center"/>
          </w:tcPr>
          <w:p w14:paraId="6D8010AE"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蓝</w:t>
            </w:r>
          </w:p>
        </w:tc>
        <w:tc>
          <w:tcPr>
            <w:tcW w:w="1607" w:type="dxa"/>
            <w:vAlign w:val="center"/>
          </w:tcPr>
          <w:p w14:paraId="650CE3B6"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黄</w:t>
            </w:r>
          </w:p>
        </w:tc>
        <w:tc>
          <w:tcPr>
            <w:tcW w:w="1607" w:type="dxa"/>
            <w:vAlign w:val="center"/>
          </w:tcPr>
          <w:p w14:paraId="3A88AABD"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hint="eastAsia"/>
                <w:bCs/>
                <w:sz w:val="24"/>
                <w:szCs w:val="24"/>
              </w:rPr>
              <w:t>橙</w:t>
            </w:r>
          </w:p>
        </w:tc>
        <w:tc>
          <w:tcPr>
            <w:tcW w:w="1608" w:type="dxa"/>
            <w:vAlign w:val="center"/>
          </w:tcPr>
          <w:p w14:paraId="280AE489"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红</w:t>
            </w:r>
          </w:p>
        </w:tc>
      </w:tr>
    </w:tbl>
    <w:p w14:paraId="7F694BE9" w14:textId="77777777" w:rsidR="008011AF" w:rsidRDefault="00000000">
      <w:pPr>
        <w:ind w:firstLine="560"/>
        <w:rPr>
          <w:rFonts w:ascii="Times New Roman" w:hAnsi="Times New Roman" w:cs="Calibri"/>
          <w:sz w:val="28"/>
          <w:szCs w:val="28"/>
        </w:rPr>
      </w:pPr>
      <w:r>
        <w:rPr>
          <w:rFonts w:ascii="Times New Roman" w:hAnsi="Times New Roman" w:cs="Calibri" w:hint="eastAsia"/>
          <w:sz w:val="28"/>
          <w:szCs w:val="28"/>
        </w:rPr>
        <w:t>（二）井下人员定位系统</w:t>
      </w:r>
    </w:p>
    <w:tbl>
      <w:tblPr>
        <w:tblW w:w="4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525"/>
        <w:gridCol w:w="1350"/>
        <w:gridCol w:w="1530"/>
        <w:gridCol w:w="1428"/>
        <w:gridCol w:w="2006"/>
      </w:tblGrid>
      <w:tr w:rsidR="008011AF" w14:paraId="6E0C3ABE" w14:textId="77777777">
        <w:trPr>
          <w:trHeight w:val="20"/>
          <w:jc w:val="center"/>
        </w:trPr>
        <w:tc>
          <w:tcPr>
            <w:tcW w:w="455" w:type="pct"/>
            <w:vAlign w:val="center"/>
          </w:tcPr>
          <w:p w14:paraId="05923923"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序号</w:t>
            </w:r>
          </w:p>
        </w:tc>
        <w:tc>
          <w:tcPr>
            <w:tcW w:w="884" w:type="pct"/>
            <w:vAlign w:val="center"/>
          </w:tcPr>
          <w:p w14:paraId="55A6A132"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指标名称</w:t>
            </w:r>
          </w:p>
        </w:tc>
        <w:tc>
          <w:tcPr>
            <w:tcW w:w="783" w:type="pct"/>
            <w:vAlign w:val="center"/>
          </w:tcPr>
          <w:p w14:paraId="7482DED1"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蓝</w:t>
            </w:r>
          </w:p>
        </w:tc>
        <w:tc>
          <w:tcPr>
            <w:tcW w:w="887" w:type="pct"/>
            <w:vAlign w:val="center"/>
          </w:tcPr>
          <w:p w14:paraId="5BAAE818"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黄</w:t>
            </w:r>
          </w:p>
        </w:tc>
        <w:tc>
          <w:tcPr>
            <w:tcW w:w="828" w:type="pct"/>
            <w:vAlign w:val="center"/>
          </w:tcPr>
          <w:p w14:paraId="4696B769"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橙</w:t>
            </w:r>
          </w:p>
        </w:tc>
        <w:tc>
          <w:tcPr>
            <w:tcW w:w="1160" w:type="pct"/>
            <w:vAlign w:val="center"/>
          </w:tcPr>
          <w:p w14:paraId="1F07170E"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hint="eastAsia"/>
                <w:bCs/>
                <w:sz w:val="24"/>
                <w:szCs w:val="24"/>
              </w:rPr>
              <w:t>红</w:t>
            </w:r>
          </w:p>
        </w:tc>
      </w:tr>
      <w:tr w:rsidR="008011AF" w14:paraId="199E4E59" w14:textId="77777777">
        <w:trPr>
          <w:trHeight w:val="20"/>
          <w:jc w:val="center"/>
        </w:trPr>
        <w:tc>
          <w:tcPr>
            <w:tcW w:w="455" w:type="pct"/>
            <w:vAlign w:val="center"/>
          </w:tcPr>
          <w:p w14:paraId="66366FE0"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sz w:val="24"/>
                <w:szCs w:val="24"/>
              </w:rPr>
              <w:t>1</w:t>
            </w:r>
          </w:p>
        </w:tc>
        <w:tc>
          <w:tcPr>
            <w:tcW w:w="884" w:type="pct"/>
            <w:vAlign w:val="center"/>
          </w:tcPr>
          <w:p w14:paraId="516ED118"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sz w:val="24"/>
                <w:szCs w:val="24"/>
              </w:rPr>
              <w:t>单班作业人数</w:t>
            </w:r>
            <w:r>
              <w:rPr>
                <w:rFonts w:ascii="Times New Roman" w:hAnsi="Times New Roman" w:cs="Calibri" w:hint="eastAsia"/>
                <w:sz w:val="24"/>
                <w:szCs w:val="24"/>
              </w:rPr>
              <w:t>超定员</w:t>
            </w:r>
          </w:p>
        </w:tc>
        <w:tc>
          <w:tcPr>
            <w:tcW w:w="783" w:type="pct"/>
            <w:vAlign w:val="center"/>
          </w:tcPr>
          <w:p w14:paraId="23587510"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sz w:val="24"/>
                <w:szCs w:val="24"/>
              </w:rPr>
              <w:t>/</w:t>
            </w:r>
          </w:p>
        </w:tc>
        <w:tc>
          <w:tcPr>
            <w:tcW w:w="887" w:type="pct"/>
            <w:vAlign w:val="center"/>
          </w:tcPr>
          <w:p w14:paraId="138FBD82"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sz w:val="24"/>
                <w:szCs w:val="24"/>
              </w:rPr>
              <w:t>/</w:t>
            </w:r>
          </w:p>
        </w:tc>
        <w:tc>
          <w:tcPr>
            <w:tcW w:w="828" w:type="pct"/>
            <w:vAlign w:val="center"/>
          </w:tcPr>
          <w:p w14:paraId="0C65DDC6"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sz w:val="24"/>
                <w:szCs w:val="24"/>
              </w:rPr>
              <w:t>/</w:t>
            </w:r>
          </w:p>
        </w:tc>
        <w:tc>
          <w:tcPr>
            <w:tcW w:w="1160" w:type="pct"/>
            <w:vAlign w:val="center"/>
          </w:tcPr>
          <w:p w14:paraId="3AF9BB96"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hint="eastAsia"/>
                <w:sz w:val="24"/>
                <w:szCs w:val="24"/>
              </w:rPr>
              <w:t>时长（</w:t>
            </w:r>
            <w:r>
              <w:rPr>
                <w:rFonts w:ascii="Times New Roman" w:hAnsi="Times New Roman" w:cs="Calibri" w:hint="eastAsia"/>
                <w:sz w:val="24"/>
                <w:szCs w:val="24"/>
              </w:rPr>
              <w:t>T</w:t>
            </w:r>
            <w:r>
              <w:rPr>
                <w:rFonts w:ascii="Times New Roman" w:hAnsi="Times New Roman" w:cs="Calibri" w:hint="eastAsia"/>
                <w:sz w:val="24"/>
                <w:szCs w:val="24"/>
              </w:rPr>
              <w:t>）</w:t>
            </w:r>
            <w:r>
              <w:rPr>
                <w:rFonts w:ascii="Times New Roman" w:hAnsi="Times New Roman" w:cs="Calibri"/>
                <w:sz w:val="24"/>
                <w:szCs w:val="24"/>
              </w:rPr>
              <w:t>≥</w:t>
            </w:r>
            <w:r>
              <w:rPr>
                <w:rFonts w:ascii="Times New Roman" w:hAnsi="Times New Roman" w:cs="Calibri" w:hint="eastAsia"/>
                <w:sz w:val="24"/>
                <w:szCs w:val="24"/>
              </w:rPr>
              <w:t>10</w:t>
            </w:r>
            <w:r>
              <w:rPr>
                <w:rFonts w:ascii="Times New Roman" w:hAnsi="Times New Roman" w:cs="Calibri"/>
                <w:sz w:val="24"/>
                <w:szCs w:val="24"/>
              </w:rPr>
              <w:t>min</w:t>
            </w:r>
          </w:p>
        </w:tc>
      </w:tr>
      <w:tr w:rsidR="008011AF" w14:paraId="6AA43682" w14:textId="77777777">
        <w:trPr>
          <w:trHeight w:val="20"/>
          <w:jc w:val="center"/>
        </w:trPr>
        <w:tc>
          <w:tcPr>
            <w:tcW w:w="455" w:type="pct"/>
            <w:vAlign w:val="center"/>
          </w:tcPr>
          <w:p w14:paraId="6930728A"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hint="eastAsia"/>
                <w:sz w:val="24"/>
                <w:szCs w:val="24"/>
              </w:rPr>
              <w:t>2</w:t>
            </w:r>
          </w:p>
        </w:tc>
        <w:tc>
          <w:tcPr>
            <w:tcW w:w="884" w:type="pct"/>
            <w:vAlign w:val="center"/>
          </w:tcPr>
          <w:p w14:paraId="02A6F98B"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sz w:val="24"/>
                <w:szCs w:val="24"/>
              </w:rPr>
              <w:t>井下无领导带班</w:t>
            </w:r>
          </w:p>
        </w:tc>
        <w:tc>
          <w:tcPr>
            <w:tcW w:w="783" w:type="pct"/>
            <w:vAlign w:val="center"/>
          </w:tcPr>
          <w:p w14:paraId="5AC00211"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sz w:val="24"/>
                <w:szCs w:val="24"/>
              </w:rPr>
              <w:t>/</w:t>
            </w:r>
          </w:p>
        </w:tc>
        <w:tc>
          <w:tcPr>
            <w:tcW w:w="887" w:type="pct"/>
            <w:vAlign w:val="center"/>
          </w:tcPr>
          <w:p w14:paraId="131C2557"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sz w:val="24"/>
                <w:szCs w:val="24"/>
              </w:rPr>
              <w:t>/</w:t>
            </w:r>
          </w:p>
        </w:tc>
        <w:tc>
          <w:tcPr>
            <w:tcW w:w="828" w:type="pct"/>
            <w:vAlign w:val="center"/>
          </w:tcPr>
          <w:p w14:paraId="39D138F2"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sz w:val="24"/>
                <w:szCs w:val="24"/>
              </w:rPr>
              <w:t>/</w:t>
            </w:r>
          </w:p>
        </w:tc>
        <w:tc>
          <w:tcPr>
            <w:tcW w:w="1160" w:type="pct"/>
            <w:vAlign w:val="center"/>
          </w:tcPr>
          <w:p w14:paraId="2A827A8D"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hint="eastAsia"/>
                <w:sz w:val="24"/>
                <w:szCs w:val="24"/>
              </w:rPr>
              <w:t>时长（</w:t>
            </w:r>
            <w:r>
              <w:rPr>
                <w:rFonts w:ascii="Times New Roman" w:hAnsi="Times New Roman" w:cs="Calibri" w:hint="eastAsia"/>
                <w:sz w:val="24"/>
                <w:szCs w:val="24"/>
              </w:rPr>
              <w:t>T</w:t>
            </w:r>
            <w:r>
              <w:rPr>
                <w:rFonts w:ascii="Times New Roman" w:hAnsi="Times New Roman" w:cs="Calibri" w:hint="eastAsia"/>
                <w:sz w:val="24"/>
                <w:szCs w:val="24"/>
              </w:rPr>
              <w:t>）</w:t>
            </w:r>
            <w:r>
              <w:rPr>
                <w:rFonts w:ascii="Times New Roman" w:hAnsi="Times New Roman" w:cs="Calibri"/>
                <w:sz w:val="24"/>
                <w:szCs w:val="24"/>
              </w:rPr>
              <w:t>≥</w:t>
            </w:r>
            <w:r>
              <w:rPr>
                <w:rFonts w:ascii="Times New Roman" w:hAnsi="Times New Roman" w:cs="Calibri" w:hint="eastAsia"/>
                <w:sz w:val="24"/>
                <w:szCs w:val="24"/>
              </w:rPr>
              <w:t>10</w:t>
            </w:r>
            <w:r>
              <w:rPr>
                <w:rFonts w:ascii="Times New Roman" w:hAnsi="Times New Roman" w:cs="Calibri"/>
                <w:sz w:val="24"/>
                <w:szCs w:val="24"/>
              </w:rPr>
              <w:t>min</w:t>
            </w:r>
          </w:p>
        </w:tc>
      </w:tr>
      <w:tr w:rsidR="008011AF" w14:paraId="23C41DDE" w14:textId="77777777">
        <w:trPr>
          <w:trHeight w:val="20"/>
          <w:jc w:val="center"/>
        </w:trPr>
        <w:tc>
          <w:tcPr>
            <w:tcW w:w="455" w:type="pct"/>
            <w:vAlign w:val="center"/>
          </w:tcPr>
          <w:p w14:paraId="38CBF76A"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hint="eastAsia"/>
                <w:sz w:val="24"/>
                <w:szCs w:val="24"/>
              </w:rPr>
              <w:t>3</w:t>
            </w:r>
          </w:p>
        </w:tc>
        <w:tc>
          <w:tcPr>
            <w:tcW w:w="884" w:type="pct"/>
            <w:vAlign w:val="center"/>
          </w:tcPr>
          <w:p w14:paraId="03DF5D5A"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sz w:val="24"/>
                <w:szCs w:val="24"/>
              </w:rPr>
              <w:t>井下超时</w:t>
            </w:r>
            <w:r>
              <w:rPr>
                <w:rFonts w:ascii="Times New Roman" w:hAnsi="Times New Roman" w:cs="Calibri" w:hint="eastAsia"/>
                <w:sz w:val="24"/>
                <w:szCs w:val="24"/>
              </w:rPr>
              <w:t>报警</w:t>
            </w:r>
          </w:p>
        </w:tc>
        <w:tc>
          <w:tcPr>
            <w:tcW w:w="783" w:type="pct"/>
            <w:vAlign w:val="center"/>
          </w:tcPr>
          <w:p w14:paraId="2B0CEFE2"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hint="eastAsia"/>
                <w:sz w:val="24"/>
                <w:szCs w:val="24"/>
              </w:rPr>
              <w:t>时长（</w:t>
            </w:r>
            <w:r>
              <w:rPr>
                <w:rFonts w:ascii="Times New Roman" w:hAnsi="Times New Roman" w:cs="Calibri" w:hint="eastAsia"/>
                <w:sz w:val="24"/>
                <w:szCs w:val="24"/>
              </w:rPr>
              <w:t>T</w:t>
            </w:r>
            <w:r>
              <w:rPr>
                <w:rFonts w:ascii="Times New Roman" w:hAnsi="Times New Roman" w:cs="Calibri" w:hint="eastAsia"/>
                <w:sz w:val="24"/>
                <w:szCs w:val="24"/>
              </w:rPr>
              <w:t>）</w:t>
            </w:r>
            <w:r>
              <w:rPr>
                <w:rFonts w:ascii="Times New Roman" w:hAnsi="Times New Roman" w:cs="Calibri"/>
                <w:sz w:val="24"/>
                <w:szCs w:val="24"/>
              </w:rPr>
              <w:t>≥60min</w:t>
            </w:r>
          </w:p>
        </w:tc>
        <w:tc>
          <w:tcPr>
            <w:tcW w:w="887" w:type="pct"/>
            <w:vAlign w:val="center"/>
          </w:tcPr>
          <w:p w14:paraId="2A5B6EB2"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hint="eastAsia"/>
                <w:sz w:val="24"/>
                <w:szCs w:val="24"/>
              </w:rPr>
              <w:t>时长（</w:t>
            </w:r>
            <w:r>
              <w:rPr>
                <w:rFonts w:ascii="Times New Roman" w:hAnsi="Times New Roman" w:cs="Calibri" w:hint="eastAsia"/>
                <w:sz w:val="24"/>
                <w:szCs w:val="24"/>
              </w:rPr>
              <w:t>T</w:t>
            </w:r>
            <w:r>
              <w:rPr>
                <w:rFonts w:ascii="Times New Roman" w:hAnsi="Times New Roman" w:cs="Calibri" w:hint="eastAsia"/>
                <w:sz w:val="24"/>
                <w:szCs w:val="24"/>
              </w:rPr>
              <w:t>）</w:t>
            </w:r>
            <w:r>
              <w:rPr>
                <w:rFonts w:ascii="Times New Roman" w:hAnsi="Times New Roman" w:cs="Calibri"/>
                <w:sz w:val="24"/>
                <w:szCs w:val="24"/>
              </w:rPr>
              <w:t>≥120min</w:t>
            </w:r>
          </w:p>
        </w:tc>
        <w:tc>
          <w:tcPr>
            <w:tcW w:w="828" w:type="pct"/>
            <w:vAlign w:val="center"/>
          </w:tcPr>
          <w:p w14:paraId="10B261FB"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hint="eastAsia"/>
                <w:sz w:val="24"/>
                <w:szCs w:val="24"/>
              </w:rPr>
              <w:t>时长（</w:t>
            </w:r>
            <w:r>
              <w:rPr>
                <w:rFonts w:ascii="Times New Roman" w:hAnsi="Times New Roman" w:cs="Calibri" w:hint="eastAsia"/>
                <w:sz w:val="24"/>
                <w:szCs w:val="24"/>
              </w:rPr>
              <w:t>T</w:t>
            </w:r>
            <w:r>
              <w:rPr>
                <w:rFonts w:ascii="Times New Roman" w:hAnsi="Times New Roman" w:cs="Calibri" w:hint="eastAsia"/>
                <w:sz w:val="24"/>
                <w:szCs w:val="24"/>
              </w:rPr>
              <w:t>）</w:t>
            </w:r>
            <w:r>
              <w:rPr>
                <w:rFonts w:ascii="Times New Roman" w:hAnsi="Times New Roman" w:cs="Calibri"/>
                <w:sz w:val="24"/>
                <w:szCs w:val="24"/>
              </w:rPr>
              <w:t>≥</w:t>
            </w:r>
            <w:r>
              <w:rPr>
                <w:rFonts w:ascii="Times New Roman" w:hAnsi="Times New Roman" w:cs="Calibri" w:hint="eastAsia"/>
                <w:sz w:val="24"/>
                <w:szCs w:val="24"/>
              </w:rPr>
              <w:t>24</w:t>
            </w:r>
            <w:r>
              <w:rPr>
                <w:rFonts w:ascii="Times New Roman" w:hAnsi="Times New Roman" w:cs="Calibri"/>
                <w:sz w:val="24"/>
                <w:szCs w:val="24"/>
              </w:rPr>
              <w:t>0min</w:t>
            </w:r>
          </w:p>
        </w:tc>
        <w:tc>
          <w:tcPr>
            <w:tcW w:w="1160" w:type="pct"/>
            <w:vAlign w:val="center"/>
          </w:tcPr>
          <w:p w14:paraId="2665A052"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sz w:val="24"/>
                <w:szCs w:val="24"/>
              </w:rPr>
              <w:t>/</w:t>
            </w:r>
          </w:p>
        </w:tc>
      </w:tr>
      <w:tr w:rsidR="008011AF" w14:paraId="505A0A64" w14:textId="77777777">
        <w:trPr>
          <w:trHeight w:val="20"/>
          <w:jc w:val="center"/>
        </w:trPr>
        <w:tc>
          <w:tcPr>
            <w:tcW w:w="5000" w:type="pct"/>
            <w:gridSpan w:val="6"/>
            <w:vAlign w:val="center"/>
          </w:tcPr>
          <w:p w14:paraId="35BA8A57" w14:textId="3BFC1558"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hint="eastAsia"/>
                <w:sz w:val="24"/>
                <w:szCs w:val="24"/>
              </w:rPr>
              <w:t>注：根据《煤矿单班入井（坑）作业人数限员规定》的通知（</w:t>
            </w:r>
            <w:proofErr w:type="gramStart"/>
            <w:r>
              <w:rPr>
                <w:rFonts w:ascii="Times New Roman" w:hAnsi="Times New Roman" w:cs="Calibri" w:hint="eastAsia"/>
                <w:sz w:val="24"/>
                <w:szCs w:val="24"/>
              </w:rPr>
              <w:t>矿安</w:t>
            </w:r>
            <w:proofErr w:type="gramEnd"/>
            <w:r>
              <w:rPr>
                <w:rFonts w:ascii="黑体" w:eastAsia="黑体" w:hAnsi="黑体" w:cs="黑体" w:hint="eastAsia"/>
                <w:sz w:val="24"/>
                <w:szCs w:val="24"/>
              </w:rPr>
              <w:t>﹝</w:t>
            </w:r>
            <w:r>
              <w:rPr>
                <w:rFonts w:ascii="Times New Roman" w:hAnsi="Times New Roman" w:cs="Calibri" w:hint="eastAsia"/>
                <w:sz w:val="24"/>
                <w:szCs w:val="24"/>
              </w:rPr>
              <w:t>2023</w:t>
            </w:r>
            <w:r>
              <w:rPr>
                <w:rFonts w:ascii="黑体" w:eastAsia="黑体" w:hAnsi="黑体" w:cs="黑体" w:hint="eastAsia"/>
                <w:sz w:val="24"/>
                <w:szCs w:val="24"/>
              </w:rPr>
              <w:t>﹞</w:t>
            </w:r>
            <w:r>
              <w:rPr>
                <w:rFonts w:ascii="Times New Roman" w:hAnsi="Times New Roman" w:cs="Calibri" w:hint="eastAsia"/>
                <w:sz w:val="24"/>
                <w:szCs w:val="24"/>
              </w:rPr>
              <w:t>129</w:t>
            </w:r>
            <w:r>
              <w:rPr>
                <w:rFonts w:ascii="Times New Roman" w:hAnsi="Times New Roman" w:cs="Calibri" w:hint="eastAsia"/>
                <w:sz w:val="24"/>
                <w:szCs w:val="24"/>
              </w:rPr>
              <w:t>号）第九条规定：交接班期间井（坑）下</w:t>
            </w:r>
            <w:proofErr w:type="gramStart"/>
            <w:r>
              <w:rPr>
                <w:rFonts w:ascii="Times New Roman" w:hAnsi="Times New Roman" w:cs="Calibri" w:hint="eastAsia"/>
                <w:sz w:val="24"/>
                <w:szCs w:val="24"/>
              </w:rPr>
              <w:t>瞬时总</w:t>
            </w:r>
            <w:proofErr w:type="gramEnd"/>
            <w:r>
              <w:rPr>
                <w:rFonts w:ascii="Times New Roman" w:hAnsi="Times New Roman" w:cs="Calibri" w:hint="eastAsia"/>
                <w:sz w:val="24"/>
                <w:szCs w:val="24"/>
              </w:rPr>
              <w:t>人数（不包含采掘工作面）不受限员规定限制，应当尽量缩短交接班时间，时间不得超过</w:t>
            </w:r>
            <w:r>
              <w:rPr>
                <w:rFonts w:ascii="Times New Roman" w:hAnsi="Times New Roman" w:cs="Calibri" w:hint="eastAsia"/>
                <w:sz w:val="24"/>
                <w:szCs w:val="24"/>
              </w:rPr>
              <w:t>2</w:t>
            </w:r>
            <w:r>
              <w:rPr>
                <w:rFonts w:ascii="Times New Roman" w:hAnsi="Times New Roman" w:cs="Calibri" w:hint="eastAsia"/>
                <w:sz w:val="24"/>
                <w:szCs w:val="24"/>
              </w:rPr>
              <w:t>小时，</w:t>
            </w:r>
            <w:proofErr w:type="gramStart"/>
            <w:r>
              <w:rPr>
                <w:rFonts w:ascii="Times New Roman" w:hAnsi="Times New Roman" w:cs="Calibri" w:hint="eastAsia"/>
                <w:sz w:val="24"/>
                <w:szCs w:val="24"/>
              </w:rPr>
              <w:t>瞬时总</w:t>
            </w:r>
            <w:proofErr w:type="gramEnd"/>
            <w:r>
              <w:rPr>
                <w:rFonts w:ascii="Times New Roman" w:hAnsi="Times New Roman" w:cs="Calibri" w:hint="eastAsia"/>
                <w:sz w:val="24"/>
                <w:szCs w:val="24"/>
              </w:rPr>
              <w:t>人数不得超</w:t>
            </w:r>
            <w:r>
              <w:rPr>
                <w:rFonts w:ascii="Times New Roman" w:hAnsi="Times New Roman" w:cs="Calibri" w:hint="eastAsia"/>
                <w:sz w:val="24"/>
                <w:szCs w:val="24"/>
              </w:rPr>
              <w:t>1000</w:t>
            </w:r>
            <w:r>
              <w:rPr>
                <w:rFonts w:ascii="Times New Roman" w:hAnsi="Times New Roman" w:cs="Calibri" w:hint="eastAsia"/>
                <w:sz w:val="24"/>
                <w:szCs w:val="24"/>
              </w:rPr>
              <w:t>人。</w:t>
            </w:r>
          </w:p>
        </w:tc>
      </w:tr>
    </w:tbl>
    <w:p w14:paraId="294D6F8D" w14:textId="77777777" w:rsidR="008011AF" w:rsidRDefault="00000000">
      <w:pPr>
        <w:ind w:firstLine="560"/>
        <w:rPr>
          <w:rFonts w:ascii="Times New Roman" w:hAnsi="Times New Roman" w:cs="Calibri"/>
          <w:sz w:val="28"/>
          <w:szCs w:val="28"/>
        </w:rPr>
      </w:pPr>
      <w:r>
        <w:rPr>
          <w:rFonts w:ascii="Times New Roman" w:hAnsi="Times New Roman" w:cs="Calibri" w:hint="eastAsia"/>
          <w:sz w:val="28"/>
          <w:szCs w:val="28"/>
        </w:rPr>
        <w:t>（三）水害防治监测系统</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277"/>
        <w:gridCol w:w="1538"/>
        <w:gridCol w:w="1553"/>
        <w:gridCol w:w="1548"/>
        <w:gridCol w:w="1744"/>
      </w:tblGrid>
      <w:tr w:rsidR="008011AF" w14:paraId="6921EFFA" w14:textId="77777777">
        <w:trPr>
          <w:trHeight w:val="20"/>
          <w:jc w:val="center"/>
        </w:trPr>
        <w:tc>
          <w:tcPr>
            <w:tcW w:w="497" w:type="pct"/>
            <w:vAlign w:val="center"/>
          </w:tcPr>
          <w:p w14:paraId="1ABD4A2B"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序号</w:t>
            </w:r>
          </w:p>
        </w:tc>
        <w:tc>
          <w:tcPr>
            <w:tcW w:w="751" w:type="pct"/>
            <w:vAlign w:val="center"/>
          </w:tcPr>
          <w:p w14:paraId="6AD31435"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指标名称</w:t>
            </w:r>
          </w:p>
        </w:tc>
        <w:tc>
          <w:tcPr>
            <w:tcW w:w="904" w:type="pct"/>
            <w:vAlign w:val="center"/>
          </w:tcPr>
          <w:p w14:paraId="3EBB251F"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蓝</w:t>
            </w:r>
          </w:p>
        </w:tc>
        <w:tc>
          <w:tcPr>
            <w:tcW w:w="913" w:type="pct"/>
            <w:vAlign w:val="center"/>
          </w:tcPr>
          <w:p w14:paraId="2C8BF772"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黄</w:t>
            </w:r>
          </w:p>
        </w:tc>
        <w:tc>
          <w:tcPr>
            <w:tcW w:w="910" w:type="pct"/>
            <w:vAlign w:val="center"/>
          </w:tcPr>
          <w:p w14:paraId="10A09A72"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橙</w:t>
            </w:r>
          </w:p>
        </w:tc>
        <w:tc>
          <w:tcPr>
            <w:tcW w:w="1025" w:type="pct"/>
            <w:vAlign w:val="center"/>
          </w:tcPr>
          <w:p w14:paraId="7C51CC92" w14:textId="77777777" w:rsidR="008011AF" w:rsidRDefault="00000000">
            <w:pPr>
              <w:spacing w:line="240" w:lineRule="auto"/>
              <w:ind w:firstLineChars="0" w:firstLine="0"/>
              <w:jc w:val="center"/>
              <w:rPr>
                <w:rFonts w:ascii="Times New Roman" w:hAnsi="Times New Roman" w:cs="Calibri"/>
                <w:bCs/>
                <w:sz w:val="24"/>
                <w:szCs w:val="24"/>
              </w:rPr>
            </w:pPr>
            <w:r>
              <w:rPr>
                <w:rFonts w:ascii="Times New Roman" w:hAnsi="Times New Roman" w:cs="Calibri"/>
                <w:bCs/>
                <w:sz w:val="24"/>
                <w:szCs w:val="24"/>
              </w:rPr>
              <w:t>红</w:t>
            </w:r>
          </w:p>
        </w:tc>
      </w:tr>
      <w:tr w:rsidR="008011AF" w14:paraId="7CF9B05E" w14:textId="77777777">
        <w:trPr>
          <w:trHeight w:val="20"/>
          <w:jc w:val="center"/>
        </w:trPr>
        <w:tc>
          <w:tcPr>
            <w:tcW w:w="497" w:type="pct"/>
            <w:vAlign w:val="center"/>
          </w:tcPr>
          <w:p w14:paraId="56003C3C"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sz w:val="24"/>
                <w:szCs w:val="24"/>
              </w:rPr>
              <w:t>1</w:t>
            </w:r>
          </w:p>
        </w:tc>
        <w:tc>
          <w:tcPr>
            <w:tcW w:w="751" w:type="pct"/>
            <w:vAlign w:val="center"/>
          </w:tcPr>
          <w:p w14:paraId="6213B1A5"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sz w:val="24"/>
                <w:szCs w:val="24"/>
              </w:rPr>
              <w:t>降雨量</w:t>
            </w:r>
            <w:r>
              <w:rPr>
                <w:rFonts w:ascii="Times New Roman" w:hAnsi="Times New Roman" w:cs="Calibri" w:hint="eastAsia"/>
                <w:sz w:val="24"/>
                <w:szCs w:val="24"/>
              </w:rPr>
              <w:t>（全矿井未撤人）</w:t>
            </w:r>
          </w:p>
        </w:tc>
        <w:tc>
          <w:tcPr>
            <w:tcW w:w="904" w:type="pct"/>
            <w:vAlign w:val="center"/>
          </w:tcPr>
          <w:p w14:paraId="2892FDB4"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sz w:val="24"/>
                <w:szCs w:val="24"/>
              </w:rPr>
              <w:t>12</w:t>
            </w:r>
            <w:r>
              <w:rPr>
                <w:rFonts w:ascii="Times New Roman" w:hAnsi="Times New Roman" w:cs="Calibri"/>
                <w:sz w:val="24"/>
                <w:szCs w:val="24"/>
              </w:rPr>
              <w:t>小时达</w:t>
            </w:r>
          </w:p>
          <w:p w14:paraId="2A1BB869"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sz w:val="24"/>
                <w:szCs w:val="24"/>
              </w:rPr>
              <w:t>50mm</w:t>
            </w:r>
            <w:r>
              <w:rPr>
                <w:rFonts w:ascii="Times New Roman" w:hAnsi="Times New Roman" w:cs="Calibri"/>
                <w:sz w:val="24"/>
                <w:szCs w:val="24"/>
              </w:rPr>
              <w:t>以上</w:t>
            </w:r>
          </w:p>
        </w:tc>
        <w:tc>
          <w:tcPr>
            <w:tcW w:w="913" w:type="pct"/>
            <w:vAlign w:val="center"/>
          </w:tcPr>
          <w:p w14:paraId="047E5BB4"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sz w:val="24"/>
                <w:szCs w:val="24"/>
              </w:rPr>
              <w:t>6</w:t>
            </w:r>
            <w:r>
              <w:rPr>
                <w:rFonts w:ascii="Times New Roman" w:hAnsi="Times New Roman" w:cs="Calibri"/>
                <w:sz w:val="24"/>
                <w:szCs w:val="24"/>
              </w:rPr>
              <w:t>小时达</w:t>
            </w:r>
          </w:p>
          <w:p w14:paraId="7E90CDC5"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sz w:val="24"/>
                <w:szCs w:val="24"/>
              </w:rPr>
              <w:t>50mm</w:t>
            </w:r>
            <w:r>
              <w:rPr>
                <w:rFonts w:ascii="Times New Roman" w:hAnsi="Times New Roman" w:cs="Calibri"/>
                <w:sz w:val="24"/>
                <w:szCs w:val="24"/>
              </w:rPr>
              <w:t>以上</w:t>
            </w:r>
          </w:p>
        </w:tc>
        <w:tc>
          <w:tcPr>
            <w:tcW w:w="910" w:type="pct"/>
            <w:vAlign w:val="center"/>
          </w:tcPr>
          <w:p w14:paraId="1433066A"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sz w:val="24"/>
                <w:szCs w:val="24"/>
              </w:rPr>
              <w:t>3</w:t>
            </w:r>
            <w:r>
              <w:rPr>
                <w:rFonts w:ascii="Times New Roman" w:hAnsi="Times New Roman" w:cs="Calibri"/>
                <w:sz w:val="24"/>
                <w:szCs w:val="24"/>
              </w:rPr>
              <w:t>小时达</w:t>
            </w:r>
          </w:p>
          <w:p w14:paraId="0489D020"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sz w:val="24"/>
                <w:szCs w:val="24"/>
              </w:rPr>
              <w:t>50mm</w:t>
            </w:r>
            <w:r>
              <w:rPr>
                <w:rFonts w:ascii="Times New Roman" w:hAnsi="Times New Roman" w:cs="Calibri"/>
                <w:sz w:val="24"/>
                <w:szCs w:val="24"/>
              </w:rPr>
              <w:t>以上</w:t>
            </w:r>
          </w:p>
        </w:tc>
        <w:tc>
          <w:tcPr>
            <w:tcW w:w="1025" w:type="pct"/>
            <w:vAlign w:val="center"/>
          </w:tcPr>
          <w:p w14:paraId="36021745"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sz w:val="24"/>
                <w:szCs w:val="24"/>
              </w:rPr>
              <w:t>3</w:t>
            </w:r>
            <w:r>
              <w:rPr>
                <w:rFonts w:ascii="Times New Roman" w:hAnsi="Times New Roman" w:cs="Calibri"/>
                <w:sz w:val="24"/>
                <w:szCs w:val="24"/>
              </w:rPr>
              <w:t>小时达</w:t>
            </w:r>
          </w:p>
          <w:p w14:paraId="09437C06"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sz w:val="24"/>
                <w:szCs w:val="24"/>
              </w:rPr>
              <w:t>100mm</w:t>
            </w:r>
            <w:r>
              <w:rPr>
                <w:rFonts w:ascii="Times New Roman" w:hAnsi="Times New Roman" w:cs="Calibri"/>
                <w:sz w:val="24"/>
                <w:szCs w:val="24"/>
              </w:rPr>
              <w:t>以上</w:t>
            </w:r>
          </w:p>
        </w:tc>
      </w:tr>
      <w:tr w:rsidR="008011AF" w14:paraId="16B1771A" w14:textId="77777777">
        <w:trPr>
          <w:trHeight w:val="20"/>
          <w:jc w:val="center"/>
        </w:trPr>
        <w:tc>
          <w:tcPr>
            <w:tcW w:w="497" w:type="pct"/>
            <w:vAlign w:val="center"/>
          </w:tcPr>
          <w:p w14:paraId="11EFFD36"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sz w:val="24"/>
                <w:szCs w:val="24"/>
              </w:rPr>
              <w:t>2</w:t>
            </w:r>
          </w:p>
        </w:tc>
        <w:tc>
          <w:tcPr>
            <w:tcW w:w="751" w:type="pct"/>
            <w:vAlign w:val="center"/>
          </w:tcPr>
          <w:p w14:paraId="3ED1CC38"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sz w:val="24"/>
                <w:szCs w:val="24"/>
              </w:rPr>
              <w:t>涌水量</w:t>
            </w:r>
          </w:p>
        </w:tc>
        <w:tc>
          <w:tcPr>
            <w:tcW w:w="904" w:type="pct"/>
            <w:vAlign w:val="center"/>
          </w:tcPr>
          <w:p w14:paraId="119464C0"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sz w:val="24"/>
                <w:szCs w:val="24"/>
              </w:rPr>
              <w:t>24</w:t>
            </w:r>
            <w:r>
              <w:rPr>
                <w:rFonts w:ascii="Times New Roman" w:hAnsi="Times New Roman" w:cs="Calibri"/>
                <w:sz w:val="24"/>
                <w:szCs w:val="24"/>
              </w:rPr>
              <w:t>小时增幅达到</w:t>
            </w:r>
            <w:r>
              <w:rPr>
                <w:rFonts w:ascii="Times New Roman" w:hAnsi="Times New Roman" w:cs="Calibri" w:hint="eastAsia"/>
                <w:sz w:val="24"/>
                <w:szCs w:val="24"/>
              </w:rPr>
              <w:t>月平均值</w:t>
            </w:r>
            <w:r>
              <w:rPr>
                <w:rFonts w:ascii="Times New Roman" w:hAnsi="Times New Roman" w:cs="Calibri" w:hint="eastAsia"/>
                <w:sz w:val="24"/>
                <w:szCs w:val="24"/>
              </w:rPr>
              <w:t>2</w:t>
            </w:r>
            <w:r>
              <w:rPr>
                <w:rFonts w:ascii="Times New Roman" w:hAnsi="Times New Roman" w:cs="Calibri"/>
                <w:sz w:val="24"/>
                <w:szCs w:val="24"/>
              </w:rPr>
              <w:t>0%</w:t>
            </w:r>
            <w:r>
              <w:rPr>
                <w:rFonts w:ascii="Times New Roman" w:hAnsi="Times New Roman" w:cs="Calibri"/>
                <w:sz w:val="24"/>
                <w:szCs w:val="24"/>
              </w:rPr>
              <w:t>以上</w:t>
            </w:r>
          </w:p>
        </w:tc>
        <w:tc>
          <w:tcPr>
            <w:tcW w:w="913" w:type="pct"/>
            <w:vAlign w:val="center"/>
          </w:tcPr>
          <w:p w14:paraId="04E9DC84"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sz w:val="24"/>
                <w:szCs w:val="24"/>
              </w:rPr>
              <w:t>24</w:t>
            </w:r>
            <w:r>
              <w:rPr>
                <w:rFonts w:ascii="Times New Roman" w:hAnsi="Times New Roman" w:cs="Calibri"/>
                <w:sz w:val="24"/>
                <w:szCs w:val="24"/>
              </w:rPr>
              <w:t>小时增幅达到</w:t>
            </w:r>
            <w:r>
              <w:rPr>
                <w:rFonts w:ascii="Times New Roman" w:hAnsi="Times New Roman" w:cs="Calibri" w:hint="eastAsia"/>
                <w:sz w:val="24"/>
                <w:szCs w:val="24"/>
              </w:rPr>
              <w:t>月平均值</w:t>
            </w:r>
            <w:r>
              <w:rPr>
                <w:rFonts w:ascii="Times New Roman" w:hAnsi="Times New Roman" w:cs="Calibri" w:hint="eastAsia"/>
                <w:sz w:val="24"/>
                <w:szCs w:val="24"/>
              </w:rPr>
              <w:t>3</w:t>
            </w:r>
            <w:r>
              <w:rPr>
                <w:rFonts w:ascii="Times New Roman" w:hAnsi="Times New Roman" w:cs="Calibri"/>
                <w:sz w:val="24"/>
                <w:szCs w:val="24"/>
              </w:rPr>
              <w:t>0%</w:t>
            </w:r>
            <w:r>
              <w:rPr>
                <w:rFonts w:ascii="Times New Roman" w:hAnsi="Times New Roman" w:cs="Calibri"/>
                <w:sz w:val="24"/>
                <w:szCs w:val="24"/>
              </w:rPr>
              <w:t>以上</w:t>
            </w:r>
          </w:p>
        </w:tc>
        <w:tc>
          <w:tcPr>
            <w:tcW w:w="910" w:type="pct"/>
            <w:vAlign w:val="center"/>
          </w:tcPr>
          <w:p w14:paraId="1ABD615D"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sz w:val="24"/>
                <w:szCs w:val="24"/>
              </w:rPr>
              <w:t>24</w:t>
            </w:r>
            <w:r>
              <w:rPr>
                <w:rFonts w:ascii="Times New Roman" w:hAnsi="Times New Roman" w:cs="Calibri"/>
                <w:sz w:val="24"/>
                <w:szCs w:val="24"/>
              </w:rPr>
              <w:t>小时增幅达到</w:t>
            </w:r>
            <w:r>
              <w:rPr>
                <w:rFonts w:ascii="Times New Roman" w:hAnsi="Times New Roman" w:cs="Calibri" w:hint="eastAsia"/>
                <w:sz w:val="24"/>
                <w:szCs w:val="24"/>
              </w:rPr>
              <w:t>月平均值</w:t>
            </w:r>
            <w:r>
              <w:rPr>
                <w:rFonts w:ascii="Times New Roman" w:hAnsi="Times New Roman" w:cs="Calibri" w:hint="eastAsia"/>
                <w:sz w:val="24"/>
                <w:szCs w:val="24"/>
              </w:rPr>
              <w:t>4</w:t>
            </w:r>
            <w:r>
              <w:rPr>
                <w:rFonts w:ascii="Times New Roman" w:hAnsi="Times New Roman" w:cs="Calibri"/>
                <w:sz w:val="24"/>
                <w:szCs w:val="24"/>
              </w:rPr>
              <w:t>0%</w:t>
            </w:r>
            <w:r>
              <w:rPr>
                <w:rFonts w:ascii="Times New Roman" w:hAnsi="Times New Roman" w:cs="Calibri"/>
                <w:sz w:val="24"/>
                <w:szCs w:val="24"/>
              </w:rPr>
              <w:t>以上</w:t>
            </w:r>
          </w:p>
        </w:tc>
        <w:tc>
          <w:tcPr>
            <w:tcW w:w="1025" w:type="pct"/>
            <w:vAlign w:val="center"/>
          </w:tcPr>
          <w:p w14:paraId="6E4CE31B"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sz w:val="24"/>
                <w:szCs w:val="24"/>
              </w:rPr>
              <w:t>24</w:t>
            </w:r>
            <w:r>
              <w:rPr>
                <w:rFonts w:ascii="Times New Roman" w:hAnsi="Times New Roman" w:cs="Calibri"/>
                <w:sz w:val="24"/>
                <w:szCs w:val="24"/>
              </w:rPr>
              <w:t>小时增幅达到</w:t>
            </w:r>
            <w:r>
              <w:rPr>
                <w:rFonts w:ascii="Times New Roman" w:hAnsi="Times New Roman" w:cs="Calibri" w:hint="eastAsia"/>
                <w:sz w:val="24"/>
                <w:szCs w:val="24"/>
              </w:rPr>
              <w:t>月平均值</w:t>
            </w:r>
            <w:r>
              <w:rPr>
                <w:rFonts w:ascii="Times New Roman" w:hAnsi="Times New Roman" w:cs="Calibri" w:hint="eastAsia"/>
                <w:sz w:val="24"/>
                <w:szCs w:val="24"/>
              </w:rPr>
              <w:t>5</w:t>
            </w:r>
            <w:r>
              <w:rPr>
                <w:rFonts w:ascii="Times New Roman" w:hAnsi="Times New Roman" w:cs="Calibri"/>
                <w:sz w:val="24"/>
                <w:szCs w:val="24"/>
              </w:rPr>
              <w:t>0%</w:t>
            </w:r>
            <w:r>
              <w:rPr>
                <w:rFonts w:ascii="Times New Roman" w:hAnsi="Times New Roman" w:cs="Calibri"/>
                <w:sz w:val="24"/>
                <w:szCs w:val="24"/>
              </w:rPr>
              <w:t>以上</w:t>
            </w:r>
          </w:p>
        </w:tc>
      </w:tr>
      <w:tr w:rsidR="008011AF" w14:paraId="5BB172E1" w14:textId="77777777">
        <w:trPr>
          <w:trHeight w:val="20"/>
          <w:jc w:val="center"/>
        </w:trPr>
        <w:tc>
          <w:tcPr>
            <w:tcW w:w="497" w:type="pct"/>
            <w:vAlign w:val="center"/>
          </w:tcPr>
          <w:p w14:paraId="3132D053"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sz w:val="24"/>
                <w:szCs w:val="24"/>
              </w:rPr>
              <w:t>3</w:t>
            </w:r>
          </w:p>
        </w:tc>
        <w:tc>
          <w:tcPr>
            <w:tcW w:w="751" w:type="pct"/>
            <w:vAlign w:val="center"/>
          </w:tcPr>
          <w:p w14:paraId="056EDC9E"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sz w:val="24"/>
                <w:szCs w:val="24"/>
              </w:rPr>
              <w:t>排水量</w:t>
            </w:r>
          </w:p>
        </w:tc>
        <w:tc>
          <w:tcPr>
            <w:tcW w:w="904" w:type="pct"/>
            <w:vAlign w:val="center"/>
          </w:tcPr>
          <w:p w14:paraId="0912526C"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sz w:val="24"/>
                <w:szCs w:val="24"/>
              </w:rPr>
              <w:t>24</w:t>
            </w:r>
            <w:r>
              <w:rPr>
                <w:rFonts w:ascii="Times New Roman" w:hAnsi="Times New Roman" w:cs="Calibri"/>
                <w:sz w:val="24"/>
                <w:szCs w:val="24"/>
              </w:rPr>
              <w:t>小时增幅达到</w:t>
            </w:r>
            <w:r>
              <w:rPr>
                <w:rFonts w:ascii="Times New Roman" w:hAnsi="Times New Roman" w:cs="Calibri" w:hint="eastAsia"/>
                <w:sz w:val="24"/>
                <w:szCs w:val="24"/>
              </w:rPr>
              <w:t>月平均值</w:t>
            </w:r>
            <w:r>
              <w:rPr>
                <w:rFonts w:ascii="Times New Roman" w:hAnsi="Times New Roman" w:cs="Calibri" w:hint="eastAsia"/>
                <w:sz w:val="24"/>
                <w:szCs w:val="24"/>
              </w:rPr>
              <w:t>2</w:t>
            </w:r>
            <w:r>
              <w:rPr>
                <w:rFonts w:ascii="Times New Roman" w:hAnsi="Times New Roman" w:cs="Calibri"/>
                <w:sz w:val="24"/>
                <w:szCs w:val="24"/>
              </w:rPr>
              <w:t>0%</w:t>
            </w:r>
            <w:r>
              <w:rPr>
                <w:rFonts w:ascii="Times New Roman" w:hAnsi="Times New Roman" w:cs="Calibri"/>
                <w:sz w:val="24"/>
                <w:szCs w:val="24"/>
              </w:rPr>
              <w:t>以上</w:t>
            </w:r>
          </w:p>
        </w:tc>
        <w:tc>
          <w:tcPr>
            <w:tcW w:w="913" w:type="pct"/>
            <w:vAlign w:val="center"/>
          </w:tcPr>
          <w:p w14:paraId="1EF0B57B"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sz w:val="24"/>
                <w:szCs w:val="24"/>
              </w:rPr>
              <w:t>24</w:t>
            </w:r>
            <w:r>
              <w:rPr>
                <w:rFonts w:ascii="Times New Roman" w:hAnsi="Times New Roman" w:cs="Calibri"/>
                <w:sz w:val="24"/>
                <w:szCs w:val="24"/>
              </w:rPr>
              <w:t>小时增幅达到</w:t>
            </w:r>
            <w:r>
              <w:rPr>
                <w:rFonts w:ascii="Times New Roman" w:hAnsi="Times New Roman" w:cs="Calibri" w:hint="eastAsia"/>
                <w:sz w:val="24"/>
                <w:szCs w:val="24"/>
              </w:rPr>
              <w:t>月平均值</w:t>
            </w:r>
            <w:r>
              <w:rPr>
                <w:rFonts w:ascii="Times New Roman" w:hAnsi="Times New Roman" w:cs="Calibri" w:hint="eastAsia"/>
                <w:sz w:val="24"/>
                <w:szCs w:val="24"/>
              </w:rPr>
              <w:t>3</w:t>
            </w:r>
            <w:r>
              <w:rPr>
                <w:rFonts w:ascii="Times New Roman" w:hAnsi="Times New Roman" w:cs="Calibri"/>
                <w:sz w:val="24"/>
                <w:szCs w:val="24"/>
              </w:rPr>
              <w:t>0%</w:t>
            </w:r>
            <w:r>
              <w:rPr>
                <w:rFonts w:ascii="Times New Roman" w:hAnsi="Times New Roman" w:cs="Calibri"/>
                <w:sz w:val="24"/>
                <w:szCs w:val="24"/>
              </w:rPr>
              <w:t>以上</w:t>
            </w:r>
          </w:p>
        </w:tc>
        <w:tc>
          <w:tcPr>
            <w:tcW w:w="910" w:type="pct"/>
            <w:vAlign w:val="center"/>
          </w:tcPr>
          <w:p w14:paraId="136EE4A9"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sz w:val="24"/>
                <w:szCs w:val="24"/>
              </w:rPr>
              <w:t>24</w:t>
            </w:r>
            <w:r>
              <w:rPr>
                <w:rFonts w:ascii="Times New Roman" w:hAnsi="Times New Roman" w:cs="Calibri"/>
                <w:sz w:val="24"/>
                <w:szCs w:val="24"/>
              </w:rPr>
              <w:t>小时增幅达到</w:t>
            </w:r>
            <w:r>
              <w:rPr>
                <w:rFonts w:ascii="Times New Roman" w:hAnsi="Times New Roman" w:cs="Calibri" w:hint="eastAsia"/>
                <w:sz w:val="24"/>
                <w:szCs w:val="24"/>
              </w:rPr>
              <w:t>月平均值</w:t>
            </w:r>
            <w:r>
              <w:rPr>
                <w:rFonts w:ascii="Times New Roman" w:hAnsi="Times New Roman" w:cs="Calibri" w:hint="eastAsia"/>
                <w:sz w:val="24"/>
                <w:szCs w:val="24"/>
              </w:rPr>
              <w:t>4</w:t>
            </w:r>
            <w:r>
              <w:rPr>
                <w:rFonts w:ascii="Times New Roman" w:hAnsi="Times New Roman" w:cs="Calibri"/>
                <w:sz w:val="24"/>
                <w:szCs w:val="24"/>
              </w:rPr>
              <w:t>0%</w:t>
            </w:r>
            <w:r>
              <w:rPr>
                <w:rFonts w:ascii="Times New Roman" w:hAnsi="Times New Roman" w:cs="Calibri"/>
                <w:sz w:val="24"/>
                <w:szCs w:val="24"/>
              </w:rPr>
              <w:t>以上</w:t>
            </w:r>
          </w:p>
        </w:tc>
        <w:tc>
          <w:tcPr>
            <w:tcW w:w="1025" w:type="pct"/>
            <w:vAlign w:val="center"/>
          </w:tcPr>
          <w:p w14:paraId="2046EAFB"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sz w:val="24"/>
                <w:szCs w:val="24"/>
              </w:rPr>
              <w:t>24</w:t>
            </w:r>
            <w:r>
              <w:rPr>
                <w:rFonts w:ascii="Times New Roman" w:hAnsi="Times New Roman" w:cs="Calibri"/>
                <w:sz w:val="24"/>
                <w:szCs w:val="24"/>
              </w:rPr>
              <w:t>小时增幅达到</w:t>
            </w:r>
            <w:r>
              <w:rPr>
                <w:rFonts w:ascii="Times New Roman" w:hAnsi="Times New Roman" w:cs="Calibri" w:hint="eastAsia"/>
                <w:sz w:val="24"/>
                <w:szCs w:val="24"/>
              </w:rPr>
              <w:t>月平均值</w:t>
            </w:r>
            <w:r>
              <w:rPr>
                <w:rFonts w:ascii="Times New Roman" w:hAnsi="Times New Roman" w:cs="Calibri" w:hint="eastAsia"/>
                <w:sz w:val="24"/>
                <w:szCs w:val="24"/>
              </w:rPr>
              <w:t>5</w:t>
            </w:r>
            <w:r>
              <w:rPr>
                <w:rFonts w:ascii="Times New Roman" w:hAnsi="Times New Roman" w:cs="Calibri"/>
                <w:sz w:val="24"/>
                <w:szCs w:val="24"/>
              </w:rPr>
              <w:t>0%</w:t>
            </w:r>
            <w:r>
              <w:rPr>
                <w:rFonts w:ascii="Times New Roman" w:hAnsi="Times New Roman" w:cs="Calibri"/>
                <w:sz w:val="24"/>
                <w:szCs w:val="24"/>
              </w:rPr>
              <w:t>以上</w:t>
            </w:r>
          </w:p>
        </w:tc>
      </w:tr>
    </w:tbl>
    <w:p w14:paraId="4190F775" w14:textId="77777777" w:rsidR="008011AF" w:rsidRDefault="00000000">
      <w:pPr>
        <w:ind w:firstLine="560"/>
        <w:rPr>
          <w:rFonts w:ascii="Times New Roman" w:hAnsi="Times New Roman" w:cs="Calibri"/>
          <w:sz w:val="28"/>
          <w:szCs w:val="28"/>
        </w:rPr>
      </w:pPr>
      <w:r>
        <w:rPr>
          <w:rFonts w:ascii="Times New Roman" w:hAnsi="Times New Roman" w:cs="Calibri" w:hint="eastAsia"/>
          <w:sz w:val="28"/>
          <w:szCs w:val="28"/>
        </w:rPr>
        <w:t>二、联网数据传输</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594"/>
        <w:gridCol w:w="1108"/>
        <w:gridCol w:w="1108"/>
        <w:gridCol w:w="1108"/>
        <w:gridCol w:w="1108"/>
        <w:gridCol w:w="776"/>
      </w:tblGrid>
      <w:tr w:rsidR="008011AF" w14:paraId="3C61A3D7" w14:textId="77777777">
        <w:trPr>
          <w:trHeight w:val="20"/>
          <w:jc w:val="center"/>
        </w:trPr>
        <w:tc>
          <w:tcPr>
            <w:tcW w:w="414" w:type="pct"/>
            <w:vAlign w:val="center"/>
          </w:tcPr>
          <w:p w14:paraId="7172158C" w14:textId="77777777" w:rsidR="008011AF" w:rsidRDefault="00000000">
            <w:pPr>
              <w:ind w:firstLineChars="0" w:firstLine="0"/>
              <w:jc w:val="center"/>
              <w:rPr>
                <w:rFonts w:ascii="Times New Roman" w:hAnsi="Times New Roman" w:cs="Calibri"/>
                <w:bCs/>
                <w:sz w:val="24"/>
                <w:szCs w:val="24"/>
              </w:rPr>
            </w:pPr>
            <w:r>
              <w:rPr>
                <w:rFonts w:ascii="Times New Roman" w:hAnsi="Times New Roman" w:cs="Calibri"/>
                <w:bCs/>
                <w:sz w:val="24"/>
                <w:szCs w:val="24"/>
              </w:rPr>
              <w:t>序号</w:t>
            </w:r>
          </w:p>
        </w:tc>
        <w:tc>
          <w:tcPr>
            <w:tcW w:w="1524" w:type="pct"/>
            <w:vAlign w:val="center"/>
          </w:tcPr>
          <w:p w14:paraId="40B19817" w14:textId="77777777" w:rsidR="008011AF" w:rsidRDefault="00000000">
            <w:pPr>
              <w:ind w:firstLineChars="0" w:firstLine="0"/>
              <w:jc w:val="center"/>
              <w:rPr>
                <w:rFonts w:ascii="Times New Roman" w:hAnsi="Times New Roman" w:cs="Calibri"/>
                <w:bCs/>
                <w:sz w:val="24"/>
                <w:szCs w:val="24"/>
              </w:rPr>
            </w:pPr>
            <w:r>
              <w:rPr>
                <w:rFonts w:ascii="Times New Roman" w:hAnsi="Times New Roman" w:cs="Calibri"/>
                <w:bCs/>
                <w:sz w:val="24"/>
                <w:szCs w:val="24"/>
              </w:rPr>
              <w:t>指标名称</w:t>
            </w:r>
          </w:p>
        </w:tc>
        <w:tc>
          <w:tcPr>
            <w:tcW w:w="651" w:type="pct"/>
            <w:vAlign w:val="center"/>
          </w:tcPr>
          <w:p w14:paraId="78248A7C" w14:textId="77777777" w:rsidR="008011AF" w:rsidRDefault="00000000">
            <w:pPr>
              <w:ind w:firstLineChars="0" w:firstLine="0"/>
              <w:jc w:val="center"/>
              <w:rPr>
                <w:rFonts w:ascii="Times New Roman" w:hAnsi="Times New Roman" w:cs="Calibri"/>
                <w:bCs/>
                <w:sz w:val="24"/>
                <w:szCs w:val="24"/>
              </w:rPr>
            </w:pPr>
            <w:r>
              <w:rPr>
                <w:rFonts w:ascii="Times New Roman" w:hAnsi="Times New Roman" w:cs="Calibri"/>
                <w:bCs/>
                <w:sz w:val="24"/>
                <w:szCs w:val="24"/>
              </w:rPr>
              <w:t>蓝</w:t>
            </w:r>
          </w:p>
        </w:tc>
        <w:tc>
          <w:tcPr>
            <w:tcW w:w="651" w:type="pct"/>
            <w:vAlign w:val="center"/>
          </w:tcPr>
          <w:p w14:paraId="2CE1B8F9" w14:textId="77777777" w:rsidR="008011AF" w:rsidRDefault="00000000">
            <w:pPr>
              <w:ind w:firstLineChars="0" w:firstLine="0"/>
              <w:jc w:val="center"/>
              <w:rPr>
                <w:rFonts w:ascii="Times New Roman" w:hAnsi="Times New Roman" w:cs="Calibri"/>
                <w:bCs/>
                <w:sz w:val="24"/>
                <w:szCs w:val="24"/>
              </w:rPr>
            </w:pPr>
            <w:r>
              <w:rPr>
                <w:rFonts w:ascii="Times New Roman" w:hAnsi="Times New Roman" w:cs="Calibri"/>
                <w:bCs/>
                <w:sz w:val="24"/>
                <w:szCs w:val="24"/>
              </w:rPr>
              <w:t>黄</w:t>
            </w:r>
          </w:p>
        </w:tc>
        <w:tc>
          <w:tcPr>
            <w:tcW w:w="651" w:type="pct"/>
            <w:vAlign w:val="center"/>
          </w:tcPr>
          <w:p w14:paraId="6A820118" w14:textId="77777777" w:rsidR="008011AF" w:rsidRDefault="00000000">
            <w:pPr>
              <w:ind w:firstLineChars="0" w:firstLine="0"/>
              <w:jc w:val="center"/>
              <w:rPr>
                <w:rFonts w:ascii="Times New Roman" w:hAnsi="Times New Roman" w:cs="Calibri"/>
                <w:bCs/>
                <w:sz w:val="24"/>
                <w:szCs w:val="24"/>
              </w:rPr>
            </w:pPr>
            <w:r>
              <w:rPr>
                <w:rFonts w:ascii="Times New Roman" w:hAnsi="Times New Roman" w:cs="Calibri"/>
                <w:bCs/>
                <w:sz w:val="24"/>
                <w:szCs w:val="24"/>
              </w:rPr>
              <w:t>橙</w:t>
            </w:r>
          </w:p>
        </w:tc>
        <w:tc>
          <w:tcPr>
            <w:tcW w:w="651" w:type="pct"/>
            <w:vAlign w:val="center"/>
          </w:tcPr>
          <w:p w14:paraId="1870F15A" w14:textId="77777777" w:rsidR="008011AF" w:rsidRDefault="00000000">
            <w:pPr>
              <w:ind w:firstLineChars="0" w:firstLine="0"/>
              <w:jc w:val="center"/>
              <w:rPr>
                <w:rFonts w:ascii="Times New Roman" w:hAnsi="Times New Roman" w:cs="Calibri"/>
                <w:bCs/>
                <w:sz w:val="24"/>
                <w:szCs w:val="24"/>
              </w:rPr>
            </w:pPr>
            <w:r>
              <w:rPr>
                <w:rFonts w:ascii="Times New Roman" w:hAnsi="Times New Roman" w:cs="Calibri"/>
                <w:bCs/>
                <w:sz w:val="24"/>
                <w:szCs w:val="24"/>
              </w:rPr>
              <w:t>红</w:t>
            </w:r>
          </w:p>
        </w:tc>
        <w:tc>
          <w:tcPr>
            <w:tcW w:w="456" w:type="pct"/>
            <w:vAlign w:val="center"/>
          </w:tcPr>
          <w:p w14:paraId="3FE7D84C" w14:textId="77777777" w:rsidR="008011AF" w:rsidRDefault="00000000">
            <w:pPr>
              <w:ind w:firstLineChars="0" w:firstLine="0"/>
              <w:jc w:val="center"/>
              <w:rPr>
                <w:rFonts w:ascii="Times New Roman" w:hAnsi="Times New Roman" w:cs="Calibri"/>
                <w:bCs/>
                <w:sz w:val="24"/>
                <w:szCs w:val="24"/>
              </w:rPr>
            </w:pPr>
            <w:r>
              <w:rPr>
                <w:rFonts w:ascii="Times New Roman" w:hAnsi="Times New Roman" w:cs="Calibri"/>
                <w:bCs/>
                <w:sz w:val="24"/>
                <w:szCs w:val="24"/>
              </w:rPr>
              <w:t>备注</w:t>
            </w:r>
          </w:p>
        </w:tc>
      </w:tr>
      <w:tr w:rsidR="008011AF" w14:paraId="3FFC821B" w14:textId="77777777">
        <w:trPr>
          <w:trHeight w:val="20"/>
          <w:jc w:val="center"/>
        </w:trPr>
        <w:tc>
          <w:tcPr>
            <w:tcW w:w="414" w:type="pct"/>
            <w:vAlign w:val="center"/>
          </w:tcPr>
          <w:p w14:paraId="08D74CD8" w14:textId="77777777" w:rsidR="008011AF" w:rsidRDefault="00000000">
            <w:pPr>
              <w:ind w:firstLineChars="0" w:firstLine="0"/>
              <w:jc w:val="center"/>
              <w:rPr>
                <w:rFonts w:ascii="Times New Roman" w:hAnsi="Times New Roman" w:cs="Calibri"/>
                <w:sz w:val="24"/>
                <w:szCs w:val="24"/>
              </w:rPr>
            </w:pPr>
            <w:r>
              <w:rPr>
                <w:rFonts w:ascii="Times New Roman" w:hAnsi="Times New Roman" w:cs="Calibri"/>
                <w:sz w:val="24"/>
                <w:szCs w:val="24"/>
              </w:rPr>
              <w:t>1</w:t>
            </w:r>
          </w:p>
        </w:tc>
        <w:tc>
          <w:tcPr>
            <w:tcW w:w="1524" w:type="pct"/>
            <w:vAlign w:val="center"/>
          </w:tcPr>
          <w:p w14:paraId="46ABB6DC"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hint="eastAsia"/>
                <w:sz w:val="24"/>
                <w:szCs w:val="24"/>
              </w:rPr>
              <w:t>传输中断</w:t>
            </w:r>
            <w:r>
              <w:rPr>
                <w:rFonts w:ascii="Times New Roman" w:hAnsi="Times New Roman" w:cs="Calibri" w:hint="eastAsia"/>
                <w:sz w:val="24"/>
                <w:szCs w:val="24"/>
              </w:rPr>
              <w:t>T</w:t>
            </w:r>
            <w:r>
              <w:rPr>
                <w:rFonts w:ascii="Times New Roman" w:hAnsi="Times New Roman" w:cs="Calibri" w:hint="eastAsia"/>
                <w:sz w:val="24"/>
                <w:szCs w:val="24"/>
              </w:rPr>
              <w:t>（分钟）</w:t>
            </w:r>
          </w:p>
          <w:p w14:paraId="4492FF32"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hint="eastAsia"/>
                <w:sz w:val="24"/>
                <w:szCs w:val="24"/>
              </w:rPr>
              <w:t>（安全监控、井下人员、井下工业视频、水害防治、冲击地压、重要设备、露天矿山采场和排土场边坡监测）</w:t>
            </w:r>
          </w:p>
        </w:tc>
        <w:tc>
          <w:tcPr>
            <w:tcW w:w="651" w:type="pct"/>
            <w:vAlign w:val="center"/>
          </w:tcPr>
          <w:p w14:paraId="565502DF"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hint="eastAsia"/>
                <w:sz w:val="24"/>
                <w:szCs w:val="24"/>
              </w:rPr>
              <w:t>20min</w:t>
            </w:r>
            <w:r>
              <w:rPr>
                <w:rFonts w:ascii="Times New Roman" w:hAnsi="Times New Roman" w:cs="Calibri"/>
                <w:sz w:val="24"/>
                <w:szCs w:val="24"/>
              </w:rPr>
              <w:t>＜</w:t>
            </w:r>
            <w:r>
              <w:rPr>
                <w:rFonts w:ascii="Times New Roman" w:hAnsi="Times New Roman" w:cs="Calibri"/>
                <w:sz w:val="24"/>
                <w:szCs w:val="24"/>
              </w:rPr>
              <w:t>T≤</w:t>
            </w:r>
            <w:r>
              <w:rPr>
                <w:rFonts w:ascii="Times New Roman" w:hAnsi="Times New Roman" w:cs="Calibri" w:hint="eastAsia"/>
                <w:sz w:val="24"/>
                <w:szCs w:val="24"/>
              </w:rPr>
              <w:t>3</w:t>
            </w:r>
            <w:r>
              <w:rPr>
                <w:rFonts w:ascii="Times New Roman" w:hAnsi="Times New Roman" w:cs="Calibri"/>
                <w:sz w:val="24"/>
                <w:szCs w:val="24"/>
              </w:rPr>
              <w:t>0</w:t>
            </w:r>
            <w:r>
              <w:rPr>
                <w:rFonts w:ascii="Times New Roman" w:hAnsi="Times New Roman" w:cs="Calibri" w:hint="eastAsia"/>
                <w:sz w:val="24"/>
                <w:szCs w:val="24"/>
              </w:rPr>
              <w:t>min</w:t>
            </w:r>
          </w:p>
        </w:tc>
        <w:tc>
          <w:tcPr>
            <w:tcW w:w="651" w:type="pct"/>
            <w:vAlign w:val="center"/>
          </w:tcPr>
          <w:p w14:paraId="165BF975"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hint="eastAsia"/>
                <w:sz w:val="24"/>
                <w:szCs w:val="24"/>
              </w:rPr>
              <w:t>3</w:t>
            </w:r>
            <w:r>
              <w:rPr>
                <w:rFonts w:ascii="Times New Roman" w:hAnsi="Times New Roman" w:cs="Calibri"/>
                <w:sz w:val="24"/>
                <w:szCs w:val="24"/>
              </w:rPr>
              <w:t>0</w:t>
            </w:r>
            <w:r>
              <w:rPr>
                <w:rFonts w:ascii="Times New Roman" w:hAnsi="Times New Roman" w:cs="Calibri" w:hint="eastAsia"/>
                <w:sz w:val="24"/>
                <w:szCs w:val="24"/>
              </w:rPr>
              <w:t>min</w:t>
            </w:r>
            <w:r>
              <w:rPr>
                <w:rFonts w:ascii="Times New Roman" w:hAnsi="Times New Roman" w:cs="Calibri"/>
                <w:sz w:val="24"/>
                <w:szCs w:val="24"/>
              </w:rPr>
              <w:t>＜</w:t>
            </w:r>
            <w:r>
              <w:rPr>
                <w:rFonts w:ascii="Times New Roman" w:hAnsi="Times New Roman" w:cs="Calibri"/>
                <w:sz w:val="24"/>
                <w:szCs w:val="24"/>
              </w:rPr>
              <w:t>T≤</w:t>
            </w:r>
            <w:r>
              <w:rPr>
                <w:rFonts w:ascii="Times New Roman" w:hAnsi="Times New Roman" w:cs="Calibri" w:hint="eastAsia"/>
                <w:sz w:val="24"/>
                <w:szCs w:val="24"/>
              </w:rPr>
              <w:t>5</w:t>
            </w:r>
            <w:r>
              <w:rPr>
                <w:rFonts w:ascii="Times New Roman" w:hAnsi="Times New Roman" w:cs="Calibri"/>
                <w:sz w:val="24"/>
                <w:szCs w:val="24"/>
              </w:rPr>
              <w:t>0</w:t>
            </w:r>
            <w:r>
              <w:rPr>
                <w:rFonts w:ascii="Times New Roman" w:hAnsi="Times New Roman" w:cs="Calibri" w:hint="eastAsia"/>
                <w:sz w:val="24"/>
                <w:szCs w:val="24"/>
              </w:rPr>
              <w:t>min</w:t>
            </w:r>
          </w:p>
        </w:tc>
        <w:tc>
          <w:tcPr>
            <w:tcW w:w="651" w:type="pct"/>
            <w:vAlign w:val="center"/>
          </w:tcPr>
          <w:p w14:paraId="617DCC2D"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hint="eastAsia"/>
                <w:sz w:val="24"/>
                <w:szCs w:val="24"/>
              </w:rPr>
              <w:t>5</w:t>
            </w:r>
            <w:r>
              <w:rPr>
                <w:rFonts w:ascii="Times New Roman" w:hAnsi="Times New Roman" w:cs="Calibri"/>
                <w:sz w:val="24"/>
                <w:szCs w:val="24"/>
              </w:rPr>
              <w:t>0</w:t>
            </w:r>
            <w:r>
              <w:rPr>
                <w:rFonts w:ascii="Times New Roman" w:hAnsi="Times New Roman" w:cs="Calibri" w:hint="eastAsia"/>
                <w:sz w:val="24"/>
                <w:szCs w:val="24"/>
              </w:rPr>
              <w:t>min</w:t>
            </w:r>
            <w:r>
              <w:rPr>
                <w:rFonts w:ascii="Times New Roman" w:hAnsi="Times New Roman" w:cs="Calibri"/>
                <w:sz w:val="24"/>
                <w:szCs w:val="24"/>
              </w:rPr>
              <w:t>＜</w:t>
            </w:r>
            <w:r>
              <w:rPr>
                <w:rFonts w:ascii="Times New Roman" w:hAnsi="Times New Roman" w:cs="Calibri"/>
                <w:sz w:val="24"/>
                <w:szCs w:val="24"/>
              </w:rPr>
              <w:t>T≤60</w:t>
            </w:r>
            <w:r>
              <w:rPr>
                <w:rFonts w:ascii="Times New Roman" w:hAnsi="Times New Roman" w:cs="Calibri" w:hint="eastAsia"/>
                <w:sz w:val="24"/>
                <w:szCs w:val="24"/>
              </w:rPr>
              <w:t>min</w:t>
            </w:r>
          </w:p>
        </w:tc>
        <w:tc>
          <w:tcPr>
            <w:tcW w:w="651" w:type="pct"/>
            <w:vAlign w:val="center"/>
          </w:tcPr>
          <w:p w14:paraId="320ECFE9" w14:textId="77777777" w:rsidR="008011AF" w:rsidRDefault="00000000">
            <w:pPr>
              <w:spacing w:line="240" w:lineRule="auto"/>
              <w:ind w:firstLineChars="0" w:firstLine="0"/>
              <w:jc w:val="center"/>
              <w:rPr>
                <w:rFonts w:ascii="Times New Roman" w:hAnsi="Times New Roman" w:cs="Calibri"/>
                <w:sz w:val="24"/>
                <w:szCs w:val="24"/>
              </w:rPr>
            </w:pPr>
            <w:r>
              <w:rPr>
                <w:rFonts w:ascii="Times New Roman" w:hAnsi="Times New Roman" w:cs="Calibri"/>
                <w:sz w:val="24"/>
                <w:szCs w:val="24"/>
              </w:rPr>
              <w:t>60</w:t>
            </w:r>
            <w:r>
              <w:rPr>
                <w:rFonts w:ascii="Times New Roman" w:hAnsi="Times New Roman" w:cs="Calibri" w:hint="eastAsia"/>
                <w:sz w:val="24"/>
                <w:szCs w:val="24"/>
              </w:rPr>
              <w:t>min</w:t>
            </w:r>
            <w:r>
              <w:rPr>
                <w:rFonts w:ascii="Times New Roman" w:hAnsi="Times New Roman" w:cs="Calibri"/>
                <w:sz w:val="24"/>
                <w:szCs w:val="24"/>
              </w:rPr>
              <w:t>≤T</w:t>
            </w:r>
          </w:p>
        </w:tc>
        <w:tc>
          <w:tcPr>
            <w:tcW w:w="456" w:type="pct"/>
            <w:vAlign w:val="center"/>
          </w:tcPr>
          <w:p w14:paraId="7D4AF741" w14:textId="77777777" w:rsidR="008011AF" w:rsidRDefault="00000000">
            <w:pPr>
              <w:spacing w:line="240" w:lineRule="auto"/>
              <w:ind w:firstLineChars="0" w:firstLine="0"/>
              <w:rPr>
                <w:rFonts w:ascii="Times New Roman" w:hAnsi="Times New Roman" w:cs="Calibri"/>
                <w:sz w:val="24"/>
                <w:szCs w:val="24"/>
              </w:rPr>
            </w:pPr>
            <w:r>
              <w:rPr>
                <w:rFonts w:ascii="Times New Roman" w:hAnsi="Times New Roman" w:cs="Calibri"/>
                <w:sz w:val="24"/>
                <w:szCs w:val="24"/>
              </w:rPr>
              <w:t>报备除外</w:t>
            </w:r>
          </w:p>
        </w:tc>
      </w:tr>
    </w:tbl>
    <w:p w14:paraId="3BFF22B7" w14:textId="010770CE" w:rsidR="008011AF" w:rsidRDefault="00000000" w:rsidP="00DF0ABC">
      <w:pPr>
        <w:ind w:firstLineChars="0" w:firstLine="0"/>
        <w:rPr>
          <w:rFonts w:ascii="楷体_GB2312" w:eastAsia="楷体_GB2312"/>
        </w:rPr>
      </w:pPr>
      <w:r>
        <w:rPr>
          <w:rFonts w:ascii="楷体_GB2312" w:eastAsia="楷体_GB2312" w:hAnsi="Times New Roman" w:cs="Calibri" w:hint="eastAsia"/>
          <w:sz w:val="24"/>
          <w:szCs w:val="24"/>
        </w:rPr>
        <w:t>备注：</w:t>
      </w:r>
      <w:r>
        <w:rPr>
          <w:rFonts w:ascii="楷体_GB2312" w:eastAsia="楷体_GB2312" w:hAnsi="Times New Roman" w:cs="Calibri"/>
          <w:sz w:val="24"/>
          <w:szCs w:val="24"/>
        </w:rPr>
        <w:t>1.</w:t>
      </w:r>
      <w:r>
        <w:rPr>
          <w:rFonts w:ascii="楷体_GB2312" w:eastAsia="楷体_GB2312" w:hAnsi="Times New Roman" w:cs="Calibri" w:hint="eastAsia"/>
          <w:sz w:val="24"/>
          <w:szCs w:val="24"/>
        </w:rPr>
        <w:t>其他未尽风险预警信息分级标准，由各省矿山安全监管监察部门根据实际科学合理制定，预警信息分级标准的制定应当深入研究、充分论证。2.报备后产生的非真实报警，以及因无轨胶轮车通过产生的CO报警，应当在分析</w:t>
      </w:r>
      <w:proofErr w:type="gramStart"/>
      <w:r>
        <w:rPr>
          <w:rFonts w:ascii="楷体_GB2312" w:eastAsia="楷体_GB2312" w:hAnsi="Times New Roman" w:cs="Calibri" w:hint="eastAsia"/>
          <w:sz w:val="24"/>
          <w:szCs w:val="24"/>
        </w:rPr>
        <w:t>研</w:t>
      </w:r>
      <w:proofErr w:type="gramEnd"/>
      <w:r>
        <w:rPr>
          <w:rFonts w:ascii="楷体_GB2312" w:eastAsia="楷体_GB2312" w:hAnsi="Times New Roman" w:cs="Calibri" w:hint="eastAsia"/>
          <w:sz w:val="24"/>
          <w:szCs w:val="24"/>
        </w:rPr>
        <w:t>判中予以去除。3</w:t>
      </w:r>
      <w:r>
        <w:rPr>
          <w:rFonts w:ascii="楷体_GB2312" w:eastAsia="楷体_GB2312" w:hAnsi="Times New Roman" w:cs="Calibri"/>
          <w:sz w:val="24"/>
          <w:szCs w:val="24"/>
        </w:rPr>
        <w:t>.</w:t>
      </w:r>
      <w:r>
        <w:rPr>
          <w:rFonts w:ascii="楷体_GB2312" w:eastAsia="楷体_GB2312" w:hAnsi="Times New Roman" w:cs="Calibri" w:hint="eastAsia"/>
          <w:sz w:val="24"/>
          <w:szCs w:val="24"/>
        </w:rPr>
        <w:t>国家矿山安全监察局根据情况适时更新完善本标准。</w:t>
      </w:r>
    </w:p>
    <w:sectPr w:rsidR="008011AF">
      <w:headerReference w:type="even" r:id="rId11"/>
      <w:headerReference w:type="default" r:id="rId12"/>
      <w:footerReference w:type="even" r:id="rId13"/>
      <w:footerReference w:type="default" r:id="rId14"/>
      <w:headerReference w:type="first" r:id="rId15"/>
      <w:footerReference w:type="first" r:id="rId16"/>
      <w:pgSz w:w="11906" w:h="16838"/>
      <w:pgMar w:top="2098" w:right="1474" w:bottom="1985" w:left="1588"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毛开江" w:date="2024-03-21T10:01:00Z" w:initials="">
    <w:p w14:paraId="11EB6942" w14:textId="77777777" w:rsidR="008011AF" w:rsidRDefault="00000000">
      <w:pPr>
        <w:pStyle w:val="a3"/>
        <w:ind w:firstLine="640"/>
      </w:pPr>
      <w:r>
        <w:rPr>
          <w:rFonts w:hint="eastAsia"/>
        </w:rPr>
        <w:t>文成：考虑进风</w:t>
      </w:r>
      <w:r>
        <w:rPr>
          <w:rFonts w:hint="eastAsia"/>
        </w:rPr>
        <w:t>0.5</w:t>
      </w:r>
      <w:r>
        <w:rPr>
          <w:rFonts w:hint="eastAsia"/>
        </w:rPr>
        <w:t>报警的问题。邹司长：预警指标统一性要考虑。</w:t>
      </w:r>
    </w:p>
  </w:comment>
  <w:comment w:id="4" w:author="毛开江" w:date="2024-03-21T11:20:00Z" w:initials="">
    <w:p w14:paraId="78F11384" w14:textId="77777777" w:rsidR="008011AF" w:rsidRDefault="00000000">
      <w:pPr>
        <w:pStyle w:val="a3"/>
        <w:ind w:firstLine="640"/>
      </w:pPr>
      <w:r>
        <w:rPr>
          <w:rFonts w:hint="eastAsia"/>
        </w:rPr>
        <w:t>赵春祥：但凡瓦斯超限，，不是蓝色。非煤要考虑。</w:t>
      </w:r>
    </w:p>
  </w:comment>
  <w:comment w:id="5" w:author="毛开江" w:date="2024-03-21T09:31:00Z" w:initials="">
    <w:p w14:paraId="094E3331" w14:textId="77777777" w:rsidR="008011AF" w:rsidRDefault="00000000">
      <w:pPr>
        <w:pStyle w:val="a3"/>
        <w:ind w:firstLine="640"/>
      </w:pPr>
      <w:r>
        <w:rPr>
          <w:rFonts w:hint="eastAsia"/>
        </w:rPr>
        <w:t>谢武：时间限制再缩短一点，以便早期识别。阴燃。</w:t>
      </w:r>
    </w:p>
  </w:comment>
  <w:comment w:id="6" w:author="毛开江" w:date="2024-03-21T11:23:00Z" w:initials="">
    <w:p w14:paraId="01706B0F" w14:textId="77777777" w:rsidR="008011AF" w:rsidRDefault="00000000">
      <w:pPr>
        <w:pStyle w:val="a3"/>
        <w:ind w:firstLine="640"/>
      </w:pPr>
      <w:r>
        <w:rPr>
          <w:rFonts w:hint="eastAsia"/>
        </w:rPr>
        <w:t>邹司长：其他国家</w:t>
      </w:r>
      <w:r>
        <w:rPr>
          <w:rFonts w:hint="eastAsia"/>
        </w:rPr>
        <w:t>50</w:t>
      </w:r>
      <w:r>
        <w:rPr>
          <w:rFonts w:hint="eastAsia"/>
        </w:rPr>
        <w:t>，下来研究一下。预警和规程分开考虑，参考其他国家。炮眼引起的不列入响应范围。单轨吊，无轨胶轮车等。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EB6942" w15:done="0"/>
  <w15:commentEx w15:paraId="78F11384" w15:done="0"/>
  <w15:commentEx w15:paraId="094E3331" w15:done="0"/>
  <w15:commentEx w15:paraId="01706B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EB6942" w16cid:durableId="59DAE6B3"/>
  <w16cid:commentId w16cid:paraId="78F11384" w16cid:durableId="64800D3B"/>
  <w16cid:commentId w16cid:paraId="094E3331" w16cid:durableId="353BF01B"/>
  <w16cid:commentId w16cid:paraId="01706B0F" w16cid:durableId="5E2D8F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4BFC" w14:textId="77777777" w:rsidR="00313029" w:rsidRDefault="00313029">
      <w:pPr>
        <w:spacing w:line="240" w:lineRule="auto"/>
        <w:ind w:firstLine="640"/>
      </w:pPr>
      <w:r>
        <w:separator/>
      </w:r>
    </w:p>
  </w:endnote>
  <w:endnote w:type="continuationSeparator" w:id="0">
    <w:p w14:paraId="26F13FAA" w14:textId="77777777" w:rsidR="00313029" w:rsidRDefault="0031302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5C52A" w14:textId="77777777" w:rsidR="008011AF" w:rsidRDefault="008011AF">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3941"/>
    </w:sdtPr>
    <w:sdtContent>
      <w:p w14:paraId="0D8F4A66" w14:textId="77777777" w:rsidR="008011AF" w:rsidRDefault="00000000">
        <w:pPr>
          <w:pStyle w:val="a7"/>
          <w:ind w:firstLine="360"/>
          <w:jc w:val="center"/>
        </w:pPr>
        <w:r>
          <w:fldChar w:fldCharType="begin"/>
        </w:r>
        <w:r>
          <w:instrText>PAGE   \* MERGEFORMAT</w:instrText>
        </w:r>
        <w:r>
          <w:fldChar w:fldCharType="separate"/>
        </w:r>
        <w:r>
          <w:rPr>
            <w:lang w:val="zh-CN"/>
          </w:rPr>
          <w:t>1</w:t>
        </w:r>
        <w:r>
          <w:rPr>
            <w:lang w:val="zh-CN"/>
          </w:rPr>
          <w:t>0</w:t>
        </w:r>
        <w:r>
          <w:fldChar w:fldCharType="end"/>
        </w:r>
      </w:p>
    </w:sdtContent>
  </w:sdt>
  <w:p w14:paraId="4D25F529" w14:textId="77777777" w:rsidR="008011AF" w:rsidRDefault="008011AF">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B8441" w14:textId="77777777" w:rsidR="008011AF" w:rsidRDefault="008011AF">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F2C8F" w14:textId="77777777" w:rsidR="00313029" w:rsidRDefault="00313029">
      <w:pPr>
        <w:spacing w:line="240" w:lineRule="auto"/>
        <w:ind w:firstLine="640"/>
      </w:pPr>
      <w:r>
        <w:separator/>
      </w:r>
    </w:p>
  </w:footnote>
  <w:footnote w:type="continuationSeparator" w:id="0">
    <w:p w14:paraId="758566DE" w14:textId="77777777" w:rsidR="00313029" w:rsidRDefault="00313029">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398A3" w14:textId="77777777" w:rsidR="008011AF" w:rsidRDefault="008011AF">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63989" w14:textId="77777777" w:rsidR="008011AF" w:rsidRDefault="008011AF">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9287E" w14:textId="77777777" w:rsidR="008011AF" w:rsidRDefault="008011AF">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1178A3"/>
    <w:multiLevelType w:val="singleLevel"/>
    <w:tmpl w:val="991178A3"/>
    <w:lvl w:ilvl="0">
      <w:start w:val="1"/>
      <w:numFmt w:val="chineseCounting"/>
      <w:suff w:val="nothing"/>
      <w:lvlText w:val="（%1）"/>
      <w:lvlJc w:val="left"/>
      <w:rPr>
        <w:rFonts w:hint="eastAsia"/>
      </w:rPr>
    </w:lvl>
  </w:abstractNum>
  <w:abstractNum w:abstractNumId="1" w15:restartNumberingAfterBreak="0">
    <w:nsid w:val="2EC4A9B5"/>
    <w:multiLevelType w:val="singleLevel"/>
    <w:tmpl w:val="2EC4A9B5"/>
    <w:lvl w:ilvl="0">
      <w:start w:val="1"/>
      <w:numFmt w:val="chineseCounting"/>
      <w:suff w:val="nothing"/>
      <w:lvlText w:val="（%1）"/>
      <w:lvlJc w:val="left"/>
      <w:rPr>
        <w:rFonts w:hint="eastAsia"/>
        <w:lang w:val="en-US"/>
      </w:rPr>
    </w:lvl>
  </w:abstractNum>
  <w:abstractNum w:abstractNumId="2" w15:restartNumberingAfterBreak="0">
    <w:nsid w:val="38F604B0"/>
    <w:multiLevelType w:val="singleLevel"/>
    <w:tmpl w:val="38F604B0"/>
    <w:lvl w:ilvl="0">
      <w:start w:val="3"/>
      <w:numFmt w:val="chineseCounting"/>
      <w:suff w:val="nothing"/>
      <w:lvlText w:val="（%1）"/>
      <w:lvlJc w:val="left"/>
      <w:rPr>
        <w:rFonts w:hint="eastAsia"/>
      </w:rPr>
    </w:lvl>
  </w:abstractNum>
  <w:abstractNum w:abstractNumId="3" w15:restartNumberingAfterBreak="0">
    <w:nsid w:val="474F7168"/>
    <w:multiLevelType w:val="multilevel"/>
    <w:tmpl w:val="474F7168"/>
    <w:lvl w:ilvl="0">
      <w:start w:val="1"/>
      <w:numFmt w:val="japaneseCounting"/>
      <w:lvlText w:val="第%1章"/>
      <w:lvlJc w:val="left"/>
      <w:pPr>
        <w:ind w:left="8954" w:hanging="1440"/>
      </w:pPr>
      <w:rPr>
        <w:rFonts w:hint="default"/>
        <w:lang w:val="en-US"/>
      </w:rPr>
    </w:lvl>
    <w:lvl w:ilvl="1">
      <w:start w:val="1"/>
      <w:numFmt w:val="lowerLetter"/>
      <w:lvlText w:val="%2)"/>
      <w:lvlJc w:val="left"/>
      <w:pPr>
        <w:ind w:left="5984" w:hanging="440"/>
      </w:pPr>
    </w:lvl>
    <w:lvl w:ilvl="2">
      <w:start w:val="1"/>
      <w:numFmt w:val="lowerRoman"/>
      <w:lvlText w:val="%3."/>
      <w:lvlJc w:val="right"/>
      <w:pPr>
        <w:ind w:left="6424" w:hanging="440"/>
      </w:pPr>
    </w:lvl>
    <w:lvl w:ilvl="3">
      <w:start w:val="1"/>
      <w:numFmt w:val="decimal"/>
      <w:lvlText w:val="%4."/>
      <w:lvlJc w:val="left"/>
      <w:pPr>
        <w:ind w:left="6864" w:hanging="440"/>
      </w:pPr>
    </w:lvl>
    <w:lvl w:ilvl="4">
      <w:start w:val="1"/>
      <w:numFmt w:val="lowerLetter"/>
      <w:lvlText w:val="%5)"/>
      <w:lvlJc w:val="left"/>
      <w:pPr>
        <w:ind w:left="7304" w:hanging="440"/>
      </w:pPr>
    </w:lvl>
    <w:lvl w:ilvl="5">
      <w:start w:val="1"/>
      <w:numFmt w:val="lowerRoman"/>
      <w:lvlText w:val="%6."/>
      <w:lvlJc w:val="right"/>
      <w:pPr>
        <w:ind w:left="7744" w:hanging="440"/>
      </w:pPr>
    </w:lvl>
    <w:lvl w:ilvl="6">
      <w:start w:val="1"/>
      <w:numFmt w:val="decimal"/>
      <w:lvlText w:val="%7."/>
      <w:lvlJc w:val="left"/>
      <w:pPr>
        <w:ind w:left="8184" w:hanging="440"/>
      </w:pPr>
    </w:lvl>
    <w:lvl w:ilvl="7">
      <w:start w:val="1"/>
      <w:numFmt w:val="lowerLetter"/>
      <w:lvlText w:val="%8)"/>
      <w:lvlJc w:val="left"/>
      <w:pPr>
        <w:ind w:left="8624" w:hanging="440"/>
      </w:pPr>
    </w:lvl>
    <w:lvl w:ilvl="8">
      <w:start w:val="1"/>
      <w:numFmt w:val="lowerRoman"/>
      <w:lvlText w:val="%9."/>
      <w:lvlJc w:val="right"/>
      <w:pPr>
        <w:ind w:left="9064" w:hanging="440"/>
      </w:pPr>
    </w:lvl>
  </w:abstractNum>
  <w:abstractNum w:abstractNumId="4" w15:restartNumberingAfterBreak="0">
    <w:nsid w:val="7FA93C43"/>
    <w:multiLevelType w:val="multilevel"/>
    <w:tmpl w:val="7FA93C43"/>
    <w:lvl w:ilvl="0">
      <w:start w:val="1"/>
      <w:numFmt w:val="chineseCountingThousand"/>
      <w:lvlText w:val="第%1条"/>
      <w:lvlJc w:val="left"/>
      <w:pPr>
        <w:ind w:left="2122" w:hanging="420"/>
      </w:pPr>
      <w:rPr>
        <w:rFonts w:ascii="仿宋_GB2312" w:eastAsia="仿宋_GB2312" w:hint="eastAsia"/>
        <w:b/>
        <w:bCs w:val="0"/>
        <w:color w:val="auto"/>
        <w:sz w:val="32"/>
        <w:lang w:val="en-US"/>
      </w:rPr>
    </w:lvl>
    <w:lvl w:ilvl="1">
      <w:start w:val="1"/>
      <w:numFmt w:val="japaneseCounting"/>
      <w:lvlText w:val="（%2）"/>
      <w:lvlJc w:val="left"/>
      <w:pPr>
        <w:ind w:left="-8137" w:hanging="1080"/>
      </w:pPr>
      <w:rPr>
        <w:rFonts w:hint="default"/>
      </w:rPr>
    </w:lvl>
    <w:lvl w:ilvl="2">
      <w:start w:val="1"/>
      <w:numFmt w:val="lowerRoman"/>
      <w:lvlText w:val="%3."/>
      <w:lvlJc w:val="right"/>
      <w:pPr>
        <w:ind w:left="-8377" w:hanging="420"/>
      </w:pPr>
    </w:lvl>
    <w:lvl w:ilvl="3">
      <w:start w:val="1"/>
      <w:numFmt w:val="decimal"/>
      <w:lvlText w:val="%4."/>
      <w:lvlJc w:val="left"/>
      <w:pPr>
        <w:ind w:left="-7957" w:hanging="420"/>
      </w:pPr>
    </w:lvl>
    <w:lvl w:ilvl="4">
      <w:start w:val="1"/>
      <w:numFmt w:val="lowerLetter"/>
      <w:lvlText w:val="%5)"/>
      <w:lvlJc w:val="left"/>
      <w:pPr>
        <w:ind w:left="-7537" w:hanging="420"/>
      </w:pPr>
    </w:lvl>
    <w:lvl w:ilvl="5">
      <w:start w:val="1"/>
      <w:numFmt w:val="lowerRoman"/>
      <w:lvlText w:val="%6."/>
      <w:lvlJc w:val="right"/>
      <w:pPr>
        <w:ind w:left="-7117" w:hanging="420"/>
      </w:pPr>
    </w:lvl>
    <w:lvl w:ilvl="6">
      <w:start w:val="1"/>
      <w:numFmt w:val="decimal"/>
      <w:lvlText w:val="%7."/>
      <w:lvlJc w:val="left"/>
      <w:pPr>
        <w:ind w:left="-6697" w:hanging="420"/>
      </w:pPr>
    </w:lvl>
    <w:lvl w:ilvl="7">
      <w:start w:val="1"/>
      <w:numFmt w:val="lowerLetter"/>
      <w:lvlText w:val="%8)"/>
      <w:lvlJc w:val="left"/>
      <w:pPr>
        <w:ind w:left="-6277" w:hanging="420"/>
      </w:pPr>
    </w:lvl>
    <w:lvl w:ilvl="8">
      <w:start w:val="1"/>
      <w:numFmt w:val="lowerRoman"/>
      <w:lvlText w:val="%9."/>
      <w:lvlJc w:val="right"/>
      <w:pPr>
        <w:ind w:left="-5857" w:hanging="420"/>
      </w:pPr>
    </w:lvl>
  </w:abstractNum>
  <w:num w:numId="1" w16cid:durableId="1947230512">
    <w:abstractNumId w:val="3"/>
  </w:num>
  <w:num w:numId="2" w16cid:durableId="1833909349">
    <w:abstractNumId w:val="4"/>
  </w:num>
  <w:num w:numId="3" w16cid:durableId="560597874">
    <w:abstractNumId w:val="1"/>
  </w:num>
  <w:num w:numId="4" w16cid:durableId="900018489">
    <w:abstractNumId w:val="0"/>
  </w:num>
  <w:num w:numId="5" w16cid:durableId="5968376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毛开江">
    <w15:presenceInfo w15:providerId="None" w15:userId="毛开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bordersDoNotSurroundHeader/>
  <w:bordersDoNotSurroundFooter/>
  <w:proofState w:spelling="clean" w:grammar="clean"/>
  <w:revisionView w:markup="0"/>
  <w:documentProtection w:edit="trackedChanges" w:enforcement="0"/>
  <w:defaultTabStop w:val="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mUyZjQwYTYwOTMyYjkxNDk4NTY4NTEzNjhkZDVlYjAifQ=="/>
  </w:docVars>
  <w:rsids>
    <w:rsidRoot w:val="000D4526"/>
    <w:rsid w:val="9FD10C1A"/>
    <w:rsid w:val="BD3F41C9"/>
    <w:rsid w:val="D3338342"/>
    <w:rsid w:val="EFF6B53A"/>
    <w:rsid w:val="FBF30D53"/>
    <w:rsid w:val="FEEBA1B8"/>
    <w:rsid w:val="FEF8D48F"/>
    <w:rsid w:val="000014A0"/>
    <w:rsid w:val="00001C1F"/>
    <w:rsid w:val="0000666E"/>
    <w:rsid w:val="000068A4"/>
    <w:rsid w:val="00010470"/>
    <w:rsid w:val="00016C90"/>
    <w:rsid w:val="00026DEE"/>
    <w:rsid w:val="00027758"/>
    <w:rsid w:val="00032712"/>
    <w:rsid w:val="00040D70"/>
    <w:rsid w:val="00042B44"/>
    <w:rsid w:val="00052472"/>
    <w:rsid w:val="00060A64"/>
    <w:rsid w:val="000619CE"/>
    <w:rsid w:val="000644AD"/>
    <w:rsid w:val="00066D6A"/>
    <w:rsid w:val="00071037"/>
    <w:rsid w:val="00075599"/>
    <w:rsid w:val="00076468"/>
    <w:rsid w:val="00076B8D"/>
    <w:rsid w:val="00076CDA"/>
    <w:rsid w:val="000867B1"/>
    <w:rsid w:val="000925FF"/>
    <w:rsid w:val="00093553"/>
    <w:rsid w:val="00094048"/>
    <w:rsid w:val="0009443E"/>
    <w:rsid w:val="00096568"/>
    <w:rsid w:val="000B1D83"/>
    <w:rsid w:val="000B3D1C"/>
    <w:rsid w:val="000B688B"/>
    <w:rsid w:val="000C3098"/>
    <w:rsid w:val="000D4526"/>
    <w:rsid w:val="000E042D"/>
    <w:rsid w:val="000E6B97"/>
    <w:rsid w:val="000F52C2"/>
    <w:rsid w:val="0010787F"/>
    <w:rsid w:val="00113517"/>
    <w:rsid w:val="00126561"/>
    <w:rsid w:val="001325EC"/>
    <w:rsid w:val="0013350F"/>
    <w:rsid w:val="00144BF1"/>
    <w:rsid w:val="00145C15"/>
    <w:rsid w:val="001470D0"/>
    <w:rsid w:val="00171C79"/>
    <w:rsid w:val="00172050"/>
    <w:rsid w:val="001811D8"/>
    <w:rsid w:val="0018175B"/>
    <w:rsid w:val="00182BC2"/>
    <w:rsid w:val="00187BC6"/>
    <w:rsid w:val="00192B87"/>
    <w:rsid w:val="00193790"/>
    <w:rsid w:val="0019497E"/>
    <w:rsid w:val="00196B5A"/>
    <w:rsid w:val="001971CB"/>
    <w:rsid w:val="001A3E65"/>
    <w:rsid w:val="001A3E67"/>
    <w:rsid w:val="001A42F7"/>
    <w:rsid w:val="001A787A"/>
    <w:rsid w:val="001B13A9"/>
    <w:rsid w:val="001B3E4E"/>
    <w:rsid w:val="001B6D0C"/>
    <w:rsid w:val="001B7572"/>
    <w:rsid w:val="001C4DC4"/>
    <w:rsid w:val="001D5612"/>
    <w:rsid w:val="001E077C"/>
    <w:rsid w:val="001E655F"/>
    <w:rsid w:val="001E6735"/>
    <w:rsid w:val="001E7717"/>
    <w:rsid w:val="001F4B53"/>
    <w:rsid w:val="001F5CB0"/>
    <w:rsid w:val="0020176E"/>
    <w:rsid w:val="00203A97"/>
    <w:rsid w:val="00206E9E"/>
    <w:rsid w:val="00207382"/>
    <w:rsid w:val="00207B06"/>
    <w:rsid w:val="002124B2"/>
    <w:rsid w:val="00213957"/>
    <w:rsid w:val="00214DF1"/>
    <w:rsid w:val="002179F3"/>
    <w:rsid w:val="002304E0"/>
    <w:rsid w:val="00237A39"/>
    <w:rsid w:val="0024073B"/>
    <w:rsid w:val="00245645"/>
    <w:rsid w:val="00245E4D"/>
    <w:rsid w:val="00251861"/>
    <w:rsid w:val="00252C79"/>
    <w:rsid w:val="00256AB3"/>
    <w:rsid w:val="002675B6"/>
    <w:rsid w:val="00267795"/>
    <w:rsid w:val="00273A7A"/>
    <w:rsid w:val="00275018"/>
    <w:rsid w:val="0027785F"/>
    <w:rsid w:val="00282F7C"/>
    <w:rsid w:val="00284ED7"/>
    <w:rsid w:val="00292E0E"/>
    <w:rsid w:val="00296118"/>
    <w:rsid w:val="002A1165"/>
    <w:rsid w:val="002A2668"/>
    <w:rsid w:val="002B05A1"/>
    <w:rsid w:val="002C00A8"/>
    <w:rsid w:val="002C53A3"/>
    <w:rsid w:val="002C5784"/>
    <w:rsid w:val="002D22AB"/>
    <w:rsid w:val="002D2539"/>
    <w:rsid w:val="002D4272"/>
    <w:rsid w:val="002D494D"/>
    <w:rsid w:val="002E1366"/>
    <w:rsid w:val="002E247A"/>
    <w:rsid w:val="002E2B63"/>
    <w:rsid w:val="002E6E56"/>
    <w:rsid w:val="002F1CE8"/>
    <w:rsid w:val="003007DE"/>
    <w:rsid w:val="00301AC4"/>
    <w:rsid w:val="00302208"/>
    <w:rsid w:val="00303592"/>
    <w:rsid w:val="0030536E"/>
    <w:rsid w:val="00311B69"/>
    <w:rsid w:val="00312E2E"/>
    <w:rsid w:val="00313029"/>
    <w:rsid w:val="00315090"/>
    <w:rsid w:val="00315303"/>
    <w:rsid w:val="00317F47"/>
    <w:rsid w:val="00321607"/>
    <w:rsid w:val="00323355"/>
    <w:rsid w:val="00325445"/>
    <w:rsid w:val="00325826"/>
    <w:rsid w:val="0033202E"/>
    <w:rsid w:val="00337CDB"/>
    <w:rsid w:val="003416AE"/>
    <w:rsid w:val="00342CD3"/>
    <w:rsid w:val="00343332"/>
    <w:rsid w:val="00343AF5"/>
    <w:rsid w:val="0034573F"/>
    <w:rsid w:val="003465C6"/>
    <w:rsid w:val="0035038D"/>
    <w:rsid w:val="00350690"/>
    <w:rsid w:val="00350755"/>
    <w:rsid w:val="003522E5"/>
    <w:rsid w:val="00356879"/>
    <w:rsid w:val="00365CFF"/>
    <w:rsid w:val="00366F66"/>
    <w:rsid w:val="00375497"/>
    <w:rsid w:val="0038032B"/>
    <w:rsid w:val="0038629F"/>
    <w:rsid w:val="00390B45"/>
    <w:rsid w:val="00394D9F"/>
    <w:rsid w:val="003C2520"/>
    <w:rsid w:val="003C370E"/>
    <w:rsid w:val="003D2456"/>
    <w:rsid w:val="003D2511"/>
    <w:rsid w:val="003D4D40"/>
    <w:rsid w:val="003D695F"/>
    <w:rsid w:val="003D7E4D"/>
    <w:rsid w:val="003E4D75"/>
    <w:rsid w:val="003E7BB4"/>
    <w:rsid w:val="003F216B"/>
    <w:rsid w:val="003F492D"/>
    <w:rsid w:val="00402DC0"/>
    <w:rsid w:val="004051A1"/>
    <w:rsid w:val="004076BF"/>
    <w:rsid w:val="00413EE8"/>
    <w:rsid w:val="00423E88"/>
    <w:rsid w:val="004268F6"/>
    <w:rsid w:val="00434347"/>
    <w:rsid w:val="00434717"/>
    <w:rsid w:val="004500AF"/>
    <w:rsid w:val="00450211"/>
    <w:rsid w:val="004527B5"/>
    <w:rsid w:val="00454963"/>
    <w:rsid w:val="00455367"/>
    <w:rsid w:val="004568B2"/>
    <w:rsid w:val="00456BF2"/>
    <w:rsid w:val="00456E8F"/>
    <w:rsid w:val="00456FAF"/>
    <w:rsid w:val="004575F4"/>
    <w:rsid w:val="00462D73"/>
    <w:rsid w:val="0047065F"/>
    <w:rsid w:val="00476D2C"/>
    <w:rsid w:val="00486EB5"/>
    <w:rsid w:val="0048777F"/>
    <w:rsid w:val="00491ECE"/>
    <w:rsid w:val="004A1764"/>
    <w:rsid w:val="004A2243"/>
    <w:rsid w:val="004A281D"/>
    <w:rsid w:val="004D0D85"/>
    <w:rsid w:val="004D0EC5"/>
    <w:rsid w:val="004D2CA3"/>
    <w:rsid w:val="004D34D7"/>
    <w:rsid w:val="004D44D0"/>
    <w:rsid w:val="004E03FB"/>
    <w:rsid w:val="004E1293"/>
    <w:rsid w:val="004E1B99"/>
    <w:rsid w:val="004F204A"/>
    <w:rsid w:val="004F2330"/>
    <w:rsid w:val="004F4964"/>
    <w:rsid w:val="00506CF9"/>
    <w:rsid w:val="0051243E"/>
    <w:rsid w:val="0051762F"/>
    <w:rsid w:val="005176CE"/>
    <w:rsid w:val="00517F36"/>
    <w:rsid w:val="005231B9"/>
    <w:rsid w:val="005240BC"/>
    <w:rsid w:val="00525AE9"/>
    <w:rsid w:val="005279B5"/>
    <w:rsid w:val="00537545"/>
    <w:rsid w:val="00545BC5"/>
    <w:rsid w:val="00564945"/>
    <w:rsid w:val="00567047"/>
    <w:rsid w:val="00567ACB"/>
    <w:rsid w:val="00581137"/>
    <w:rsid w:val="00581879"/>
    <w:rsid w:val="0058461F"/>
    <w:rsid w:val="00590EA6"/>
    <w:rsid w:val="00594722"/>
    <w:rsid w:val="00595208"/>
    <w:rsid w:val="00597997"/>
    <w:rsid w:val="005A3E43"/>
    <w:rsid w:val="005A5D5A"/>
    <w:rsid w:val="005C054A"/>
    <w:rsid w:val="005C2A8D"/>
    <w:rsid w:val="005C4949"/>
    <w:rsid w:val="005D1A32"/>
    <w:rsid w:val="005E440E"/>
    <w:rsid w:val="005E650A"/>
    <w:rsid w:val="005F34AA"/>
    <w:rsid w:val="00601097"/>
    <w:rsid w:val="006030FE"/>
    <w:rsid w:val="0061030B"/>
    <w:rsid w:val="00621C8D"/>
    <w:rsid w:val="00623996"/>
    <w:rsid w:val="00624774"/>
    <w:rsid w:val="00624CCF"/>
    <w:rsid w:val="00627B84"/>
    <w:rsid w:val="00647210"/>
    <w:rsid w:val="006506D7"/>
    <w:rsid w:val="00654ACF"/>
    <w:rsid w:val="006575DE"/>
    <w:rsid w:val="00657E12"/>
    <w:rsid w:val="006600A1"/>
    <w:rsid w:val="00661406"/>
    <w:rsid w:val="006637CF"/>
    <w:rsid w:val="006750C6"/>
    <w:rsid w:val="00682C3E"/>
    <w:rsid w:val="00686106"/>
    <w:rsid w:val="00686CC6"/>
    <w:rsid w:val="006A3372"/>
    <w:rsid w:val="006A4443"/>
    <w:rsid w:val="006B2CF5"/>
    <w:rsid w:val="006B4688"/>
    <w:rsid w:val="006B4F6C"/>
    <w:rsid w:val="006C4684"/>
    <w:rsid w:val="006D03B7"/>
    <w:rsid w:val="006D3F9D"/>
    <w:rsid w:val="006D6E75"/>
    <w:rsid w:val="006D7E4C"/>
    <w:rsid w:val="006E0F59"/>
    <w:rsid w:val="006E30C4"/>
    <w:rsid w:val="006E3C85"/>
    <w:rsid w:val="006E7BC3"/>
    <w:rsid w:val="006F1611"/>
    <w:rsid w:val="006F2BA0"/>
    <w:rsid w:val="006F349A"/>
    <w:rsid w:val="0070164E"/>
    <w:rsid w:val="00702EFB"/>
    <w:rsid w:val="00707BF6"/>
    <w:rsid w:val="007103E0"/>
    <w:rsid w:val="00710A20"/>
    <w:rsid w:val="0071167A"/>
    <w:rsid w:val="00712F4D"/>
    <w:rsid w:val="00715030"/>
    <w:rsid w:val="0071600C"/>
    <w:rsid w:val="007205D0"/>
    <w:rsid w:val="00723B59"/>
    <w:rsid w:val="00726F33"/>
    <w:rsid w:val="0073355D"/>
    <w:rsid w:val="00733EED"/>
    <w:rsid w:val="00734970"/>
    <w:rsid w:val="00743934"/>
    <w:rsid w:val="00747452"/>
    <w:rsid w:val="00754949"/>
    <w:rsid w:val="00757935"/>
    <w:rsid w:val="007667F7"/>
    <w:rsid w:val="00771EDA"/>
    <w:rsid w:val="00774455"/>
    <w:rsid w:val="00776871"/>
    <w:rsid w:val="00782EB9"/>
    <w:rsid w:val="00792F93"/>
    <w:rsid w:val="0079408E"/>
    <w:rsid w:val="00795B11"/>
    <w:rsid w:val="007B296E"/>
    <w:rsid w:val="007B29F8"/>
    <w:rsid w:val="007C0A75"/>
    <w:rsid w:val="007C59E5"/>
    <w:rsid w:val="007C6CB6"/>
    <w:rsid w:val="007E441B"/>
    <w:rsid w:val="007E67EE"/>
    <w:rsid w:val="007F77A3"/>
    <w:rsid w:val="008011AF"/>
    <w:rsid w:val="00803C9E"/>
    <w:rsid w:val="00811F10"/>
    <w:rsid w:val="0082159F"/>
    <w:rsid w:val="00821EE9"/>
    <w:rsid w:val="008227E4"/>
    <w:rsid w:val="0083081D"/>
    <w:rsid w:val="008365F9"/>
    <w:rsid w:val="008432B2"/>
    <w:rsid w:val="008433F5"/>
    <w:rsid w:val="00845744"/>
    <w:rsid w:val="00851B1C"/>
    <w:rsid w:val="00852EF5"/>
    <w:rsid w:val="0086349E"/>
    <w:rsid w:val="008756CA"/>
    <w:rsid w:val="008822BF"/>
    <w:rsid w:val="00884217"/>
    <w:rsid w:val="00886707"/>
    <w:rsid w:val="008930F3"/>
    <w:rsid w:val="00893E38"/>
    <w:rsid w:val="008A0FF1"/>
    <w:rsid w:val="008A17E3"/>
    <w:rsid w:val="008A44C7"/>
    <w:rsid w:val="008A5E47"/>
    <w:rsid w:val="008B1AA5"/>
    <w:rsid w:val="008B3B9D"/>
    <w:rsid w:val="008B7E0E"/>
    <w:rsid w:val="008C0C20"/>
    <w:rsid w:val="008D1735"/>
    <w:rsid w:val="00903760"/>
    <w:rsid w:val="009114B8"/>
    <w:rsid w:val="00920813"/>
    <w:rsid w:val="009260C1"/>
    <w:rsid w:val="009369EA"/>
    <w:rsid w:val="009416C9"/>
    <w:rsid w:val="0095362E"/>
    <w:rsid w:val="009643BF"/>
    <w:rsid w:val="00975E38"/>
    <w:rsid w:val="0097680E"/>
    <w:rsid w:val="00980A59"/>
    <w:rsid w:val="0098150A"/>
    <w:rsid w:val="0098316B"/>
    <w:rsid w:val="00983AD2"/>
    <w:rsid w:val="009845A8"/>
    <w:rsid w:val="009907CA"/>
    <w:rsid w:val="009965F1"/>
    <w:rsid w:val="00996979"/>
    <w:rsid w:val="0099703C"/>
    <w:rsid w:val="009A2D81"/>
    <w:rsid w:val="009A67A0"/>
    <w:rsid w:val="009B0A5B"/>
    <w:rsid w:val="009B51C2"/>
    <w:rsid w:val="009B69C5"/>
    <w:rsid w:val="009C3323"/>
    <w:rsid w:val="009C4D70"/>
    <w:rsid w:val="009D25B2"/>
    <w:rsid w:val="009D3DB2"/>
    <w:rsid w:val="009D66DA"/>
    <w:rsid w:val="009E34FB"/>
    <w:rsid w:val="009F060C"/>
    <w:rsid w:val="009F158C"/>
    <w:rsid w:val="009F3BEC"/>
    <w:rsid w:val="009F49BC"/>
    <w:rsid w:val="00A075AB"/>
    <w:rsid w:val="00A07F8D"/>
    <w:rsid w:val="00A15F70"/>
    <w:rsid w:val="00A21307"/>
    <w:rsid w:val="00A32529"/>
    <w:rsid w:val="00A348CB"/>
    <w:rsid w:val="00A354F0"/>
    <w:rsid w:val="00A4101B"/>
    <w:rsid w:val="00A418C5"/>
    <w:rsid w:val="00A5313A"/>
    <w:rsid w:val="00A550B3"/>
    <w:rsid w:val="00A5618C"/>
    <w:rsid w:val="00A66C16"/>
    <w:rsid w:val="00A67EBC"/>
    <w:rsid w:val="00A73AD1"/>
    <w:rsid w:val="00A74504"/>
    <w:rsid w:val="00A75FB3"/>
    <w:rsid w:val="00A80B1B"/>
    <w:rsid w:val="00A86E16"/>
    <w:rsid w:val="00A971BD"/>
    <w:rsid w:val="00A9764E"/>
    <w:rsid w:val="00AA0876"/>
    <w:rsid w:val="00AA5AF8"/>
    <w:rsid w:val="00AB2F64"/>
    <w:rsid w:val="00AD38E6"/>
    <w:rsid w:val="00AD7BA4"/>
    <w:rsid w:val="00AE2190"/>
    <w:rsid w:val="00AE54A4"/>
    <w:rsid w:val="00AE6D67"/>
    <w:rsid w:val="00AF4945"/>
    <w:rsid w:val="00AF4D6C"/>
    <w:rsid w:val="00B00123"/>
    <w:rsid w:val="00B006F5"/>
    <w:rsid w:val="00B01327"/>
    <w:rsid w:val="00B019CE"/>
    <w:rsid w:val="00B026CC"/>
    <w:rsid w:val="00B10633"/>
    <w:rsid w:val="00B15B48"/>
    <w:rsid w:val="00B167B0"/>
    <w:rsid w:val="00B30F80"/>
    <w:rsid w:val="00B3227B"/>
    <w:rsid w:val="00B370DE"/>
    <w:rsid w:val="00B41C06"/>
    <w:rsid w:val="00B44602"/>
    <w:rsid w:val="00B46C4D"/>
    <w:rsid w:val="00B51BC7"/>
    <w:rsid w:val="00B5408A"/>
    <w:rsid w:val="00B558CF"/>
    <w:rsid w:val="00B5752B"/>
    <w:rsid w:val="00B601BE"/>
    <w:rsid w:val="00B609A4"/>
    <w:rsid w:val="00B61247"/>
    <w:rsid w:val="00B64751"/>
    <w:rsid w:val="00B673C6"/>
    <w:rsid w:val="00B67FFC"/>
    <w:rsid w:val="00B73926"/>
    <w:rsid w:val="00B7563F"/>
    <w:rsid w:val="00B76EB5"/>
    <w:rsid w:val="00B90BC9"/>
    <w:rsid w:val="00B9460E"/>
    <w:rsid w:val="00B94A12"/>
    <w:rsid w:val="00B96C94"/>
    <w:rsid w:val="00B96F54"/>
    <w:rsid w:val="00BA0AF7"/>
    <w:rsid w:val="00BA279B"/>
    <w:rsid w:val="00BA2CB5"/>
    <w:rsid w:val="00BA5391"/>
    <w:rsid w:val="00BB2B7A"/>
    <w:rsid w:val="00BB3027"/>
    <w:rsid w:val="00BB48D5"/>
    <w:rsid w:val="00BB6269"/>
    <w:rsid w:val="00BC4A99"/>
    <w:rsid w:val="00BC6D2E"/>
    <w:rsid w:val="00BC7E12"/>
    <w:rsid w:val="00BD5B10"/>
    <w:rsid w:val="00BE0143"/>
    <w:rsid w:val="00BE0C7E"/>
    <w:rsid w:val="00BE6093"/>
    <w:rsid w:val="00BF0813"/>
    <w:rsid w:val="00BF0EE8"/>
    <w:rsid w:val="00BF16CF"/>
    <w:rsid w:val="00BF2F63"/>
    <w:rsid w:val="00BF6186"/>
    <w:rsid w:val="00C0078F"/>
    <w:rsid w:val="00C04D83"/>
    <w:rsid w:val="00C103CD"/>
    <w:rsid w:val="00C15AE7"/>
    <w:rsid w:val="00C203AE"/>
    <w:rsid w:val="00C205A1"/>
    <w:rsid w:val="00C21DE2"/>
    <w:rsid w:val="00C27EBB"/>
    <w:rsid w:val="00C37167"/>
    <w:rsid w:val="00C41458"/>
    <w:rsid w:val="00C44F14"/>
    <w:rsid w:val="00C468A8"/>
    <w:rsid w:val="00C46CA1"/>
    <w:rsid w:val="00C46FB8"/>
    <w:rsid w:val="00C53406"/>
    <w:rsid w:val="00C63CA5"/>
    <w:rsid w:val="00C753B1"/>
    <w:rsid w:val="00C81585"/>
    <w:rsid w:val="00C8374B"/>
    <w:rsid w:val="00C86BA8"/>
    <w:rsid w:val="00C966D5"/>
    <w:rsid w:val="00C97795"/>
    <w:rsid w:val="00CA501F"/>
    <w:rsid w:val="00CA5DC8"/>
    <w:rsid w:val="00CA712A"/>
    <w:rsid w:val="00CA7287"/>
    <w:rsid w:val="00CB0A7B"/>
    <w:rsid w:val="00CB43B7"/>
    <w:rsid w:val="00CB480C"/>
    <w:rsid w:val="00CC10E7"/>
    <w:rsid w:val="00CC132E"/>
    <w:rsid w:val="00CC5F9F"/>
    <w:rsid w:val="00CD09AB"/>
    <w:rsid w:val="00CD3912"/>
    <w:rsid w:val="00CE60BC"/>
    <w:rsid w:val="00CE769A"/>
    <w:rsid w:val="00CE7A75"/>
    <w:rsid w:val="00CF14CA"/>
    <w:rsid w:val="00CF5964"/>
    <w:rsid w:val="00D04857"/>
    <w:rsid w:val="00D07BBA"/>
    <w:rsid w:val="00D21811"/>
    <w:rsid w:val="00D22600"/>
    <w:rsid w:val="00D52E31"/>
    <w:rsid w:val="00D554AA"/>
    <w:rsid w:val="00D65F12"/>
    <w:rsid w:val="00D6763F"/>
    <w:rsid w:val="00D72BA7"/>
    <w:rsid w:val="00D74735"/>
    <w:rsid w:val="00D75E5B"/>
    <w:rsid w:val="00D80742"/>
    <w:rsid w:val="00D90DD6"/>
    <w:rsid w:val="00DA1824"/>
    <w:rsid w:val="00DA3056"/>
    <w:rsid w:val="00DB1A65"/>
    <w:rsid w:val="00DB548E"/>
    <w:rsid w:val="00DB6F7D"/>
    <w:rsid w:val="00DC66B5"/>
    <w:rsid w:val="00DD0387"/>
    <w:rsid w:val="00DE74C6"/>
    <w:rsid w:val="00DF0ABC"/>
    <w:rsid w:val="00E007AA"/>
    <w:rsid w:val="00E02AAD"/>
    <w:rsid w:val="00E101DF"/>
    <w:rsid w:val="00E140F7"/>
    <w:rsid w:val="00E20CAD"/>
    <w:rsid w:val="00E20F1E"/>
    <w:rsid w:val="00E229E1"/>
    <w:rsid w:val="00E3488A"/>
    <w:rsid w:val="00E36860"/>
    <w:rsid w:val="00E37157"/>
    <w:rsid w:val="00E4216C"/>
    <w:rsid w:val="00E530DA"/>
    <w:rsid w:val="00E66784"/>
    <w:rsid w:val="00E73175"/>
    <w:rsid w:val="00E746C6"/>
    <w:rsid w:val="00E76EB5"/>
    <w:rsid w:val="00E80E01"/>
    <w:rsid w:val="00E82E13"/>
    <w:rsid w:val="00E9081D"/>
    <w:rsid w:val="00E9189E"/>
    <w:rsid w:val="00E96319"/>
    <w:rsid w:val="00E974E7"/>
    <w:rsid w:val="00EA0D37"/>
    <w:rsid w:val="00EB2072"/>
    <w:rsid w:val="00EC3F83"/>
    <w:rsid w:val="00EC64AC"/>
    <w:rsid w:val="00EC77E7"/>
    <w:rsid w:val="00ED20A6"/>
    <w:rsid w:val="00ED3290"/>
    <w:rsid w:val="00EE5980"/>
    <w:rsid w:val="00EF79B5"/>
    <w:rsid w:val="00F00451"/>
    <w:rsid w:val="00F11083"/>
    <w:rsid w:val="00F11797"/>
    <w:rsid w:val="00F135A6"/>
    <w:rsid w:val="00F15A67"/>
    <w:rsid w:val="00F17504"/>
    <w:rsid w:val="00F211D7"/>
    <w:rsid w:val="00F23782"/>
    <w:rsid w:val="00F33288"/>
    <w:rsid w:val="00F371D3"/>
    <w:rsid w:val="00F6012D"/>
    <w:rsid w:val="00F6589E"/>
    <w:rsid w:val="00F6676E"/>
    <w:rsid w:val="00F826C8"/>
    <w:rsid w:val="00F9178A"/>
    <w:rsid w:val="00F91C95"/>
    <w:rsid w:val="00F9567C"/>
    <w:rsid w:val="00FA2619"/>
    <w:rsid w:val="00FA418C"/>
    <w:rsid w:val="00FA4F05"/>
    <w:rsid w:val="00FB68FA"/>
    <w:rsid w:val="00FC11F3"/>
    <w:rsid w:val="00FC5EB1"/>
    <w:rsid w:val="00FD0F1F"/>
    <w:rsid w:val="00FE3A09"/>
    <w:rsid w:val="00FE56A1"/>
    <w:rsid w:val="00FF1CC1"/>
    <w:rsid w:val="039F7E49"/>
    <w:rsid w:val="0B665C8D"/>
    <w:rsid w:val="25747800"/>
    <w:rsid w:val="2964687E"/>
    <w:rsid w:val="302F3016"/>
    <w:rsid w:val="351A72AD"/>
    <w:rsid w:val="36200CAA"/>
    <w:rsid w:val="3759DE8E"/>
    <w:rsid w:val="3D191A64"/>
    <w:rsid w:val="3DE33FC7"/>
    <w:rsid w:val="3F801C07"/>
    <w:rsid w:val="435B55A5"/>
    <w:rsid w:val="486125B1"/>
    <w:rsid w:val="4D102D7B"/>
    <w:rsid w:val="57BB61F6"/>
    <w:rsid w:val="61A969AC"/>
    <w:rsid w:val="661207DE"/>
    <w:rsid w:val="6AB954A7"/>
    <w:rsid w:val="6DB0640F"/>
    <w:rsid w:val="6EEBC680"/>
    <w:rsid w:val="6EFB7725"/>
    <w:rsid w:val="70C11FA1"/>
    <w:rsid w:val="73B33A03"/>
    <w:rsid w:val="749B605C"/>
    <w:rsid w:val="77E79439"/>
    <w:rsid w:val="7912395A"/>
    <w:rsid w:val="7B47744F"/>
    <w:rsid w:val="7E47B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53D124E-6C5B-4451-9DA4-38CAB61C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560" w:lineRule="exact"/>
      <w:ind w:firstLineChars="200" w:firstLine="20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autoRedefine/>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修订1"/>
    <w:hidden/>
    <w:uiPriority w:val="99"/>
    <w:semiHidden/>
    <w:qFormat/>
    <w:rPr>
      <w:kern w:val="2"/>
      <w:sz w:val="21"/>
      <w:szCs w:val="22"/>
    </w:rPr>
  </w:style>
  <w:style w:type="paragraph" w:styleId="ae">
    <w:name w:val="List Paragraph"/>
    <w:basedOn w:val="a"/>
    <w:autoRedefine/>
    <w:uiPriority w:val="34"/>
    <w:qFormat/>
    <w:pPr>
      <w:ind w:firstLine="420"/>
    </w:pPr>
  </w:style>
  <w:style w:type="character" w:customStyle="1" w:styleId="a4">
    <w:name w:val="批注文字 字符"/>
    <w:basedOn w:val="a0"/>
    <w:link w:val="a3"/>
    <w:uiPriority w:val="99"/>
    <w:qFormat/>
  </w:style>
  <w:style w:type="character" w:customStyle="1" w:styleId="ac">
    <w:name w:val="批注主题 字符"/>
    <w:basedOn w:val="a4"/>
    <w:link w:val="ab"/>
    <w:uiPriority w:val="99"/>
    <w:semiHidden/>
    <w:qFormat/>
    <w:rPr>
      <w:b/>
      <w:bCs/>
    </w:rPr>
  </w:style>
  <w:style w:type="paragraph" w:customStyle="1" w:styleId="2">
    <w:name w:val="修订2"/>
    <w:hidden/>
    <w:uiPriority w:val="99"/>
    <w:unhideWhenUsed/>
    <w:qFormat/>
    <w:rPr>
      <w:rFonts w:eastAsia="仿宋_GB2312"/>
      <w:kern w:val="2"/>
      <w:sz w:val="32"/>
      <w:szCs w:val="22"/>
    </w:rPr>
  </w:style>
  <w:style w:type="paragraph" w:customStyle="1" w:styleId="3">
    <w:name w:val="修订3"/>
    <w:hidden/>
    <w:uiPriority w:val="99"/>
    <w:unhideWhenUsed/>
    <w:qFormat/>
    <w:rPr>
      <w:rFonts w:eastAsia="仿宋_GB2312"/>
      <w:kern w:val="2"/>
      <w:sz w:val="32"/>
      <w:szCs w:val="22"/>
    </w:rPr>
  </w:style>
  <w:style w:type="character" w:customStyle="1" w:styleId="a6">
    <w:name w:val="批注框文本 字符"/>
    <w:basedOn w:val="a0"/>
    <w:link w:val="a5"/>
    <w:uiPriority w:val="99"/>
    <w:semiHidden/>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D0B53-348C-44DE-9B5D-4D9D49D9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2740</Words>
  <Characters>3014</Characters>
  <Application>Microsoft Office Word</Application>
  <DocSecurity>0</DocSecurity>
  <Lines>200</Lines>
  <Paragraphs>119</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毛开江</dc:creator>
  <cp:lastModifiedBy>毛开江</cp:lastModifiedBy>
  <cp:revision>7</cp:revision>
  <cp:lastPrinted>2024-05-23T09:55:00Z</cp:lastPrinted>
  <dcterms:created xsi:type="dcterms:W3CDTF">2024-05-23T10:26:00Z</dcterms:created>
  <dcterms:modified xsi:type="dcterms:W3CDTF">2024-05-30T00:32:00Z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ADCC816C8AF24CCA8B74A05E991C4CA6_12</vt:lpwstr>
  </property>
</Properties>
</file>