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283" w:rsidRPr="00C00283" w:rsidRDefault="00C00283" w:rsidP="00C00283">
      <w:pPr>
        <w:widowControl/>
        <w:shd w:val="clear" w:color="auto" w:fill="FFFFFF"/>
        <w:spacing w:line="560" w:lineRule="atLeast"/>
        <w:jc w:val="center"/>
        <w:rPr>
          <w:rFonts w:ascii="宋体" w:hAnsi="宋体" w:cs="宋体"/>
          <w:color w:val="333333"/>
          <w:kern w:val="0"/>
          <w:sz w:val="32"/>
          <w:szCs w:val="32"/>
        </w:rPr>
      </w:pPr>
      <w:bookmarkStart w:id="0" w:name="_GoBack"/>
      <w:r w:rsidRPr="00C00283">
        <w:rPr>
          <w:rFonts w:ascii="宋体" w:hAnsi="宋体" w:cs="宋体" w:hint="eastAsia"/>
          <w:b/>
          <w:bCs/>
          <w:color w:val="333333"/>
          <w:kern w:val="0"/>
          <w:sz w:val="40"/>
          <w:szCs w:val="40"/>
          <w:bdr w:val="none" w:sz="0" w:space="0" w:color="auto" w:frame="1"/>
        </w:rPr>
        <w:t>煤矿井下单班作业人数定员标准</w:t>
      </w:r>
    </w:p>
    <w:bookmarkEnd w:id="0"/>
    <w:p w:rsidR="00C00283" w:rsidRPr="00C00283" w:rsidRDefault="00C00283" w:rsidP="00C00283">
      <w:pPr>
        <w:widowControl/>
        <w:shd w:val="clear" w:color="auto" w:fill="FFFFFF"/>
        <w:spacing w:line="560" w:lineRule="atLeast"/>
        <w:jc w:val="center"/>
        <w:rPr>
          <w:rFonts w:ascii="宋体" w:hAnsi="宋体" w:cs="宋体" w:hint="eastAsia"/>
          <w:color w:val="333333"/>
          <w:kern w:val="0"/>
          <w:sz w:val="32"/>
          <w:szCs w:val="32"/>
        </w:rPr>
      </w:pPr>
      <w:r w:rsidRPr="00C00283">
        <w:rPr>
          <w:rFonts w:ascii="楷体_GB2312" w:eastAsia="楷体_GB2312" w:hAnsi="宋体" w:cs="宋体" w:hint="eastAsia"/>
          <w:color w:val="333333"/>
          <w:kern w:val="0"/>
          <w:sz w:val="32"/>
          <w:szCs w:val="32"/>
          <w:bdr w:val="none" w:sz="0" w:space="0" w:color="auto" w:frame="1"/>
        </w:rPr>
        <w:t>（征求意见稿）</w:t>
      </w:r>
    </w:p>
    <w:p w:rsidR="00C00283" w:rsidRPr="00C00283" w:rsidRDefault="00C00283" w:rsidP="00C00283">
      <w:pPr>
        <w:widowControl/>
        <w:shd w:val="clear" w:color="auto" w:fill="FFFFFF"/>
        <w:spacing w:line="560" w:lineRule="atLeast"/>
        <w:ind w:firstLine="643"/>
        <w:jc w:val="left"/>
        <w:rPr>
          <w:rFonts w:ascii="宋体" w:hAnsi="宋体" w:cs="宋体" w:hint="eastAsia"/>
          <w:color w:val="333333"/>
          <w:kern w:val="0"/>
          <w:sz w:val="32"/>
          <w:szCs w:val="32"/>
        </w:rPr>
      </w:pPr>
      <w:r w:rsidRPr="00C00283">
        <w:rPr>
          <w:rFonts w:ascii="宋体" w:hAnsi="宋体" w:cs="宋体" w:hint="eastAsia"/>
          <w:b/>
          <w:bCs/>
          <w:color w:val="333333"/>
          <w:kern w:val="0"/>
          <w:sz w:val="32"/>
          <w:szCs w:val="32"/>
          <w:bdr w:val="none" w:sz="0" w:space="0" w:color="auto" w:frame="1"/>
        </w:rPr>
        <w:t>第一条</w:t>
      </w:r>
      <w:r w:rsidRPr="00C00283">
        <w:rPr>
          <w:rFonts w:ascii="宋体" w:hAnsi="宋体" w:cs="宋体" w:hint="eastAsia"/>
          <w:color w:val="333333"/>
          <w:kern w:val="0"/>
          <w:sz w:val="32"/>
          <w:szCs w:val="32"/>
          <w:bdr w:val="none" w:sz="0" w:space="0" w:color="auto" w:frame="1"/>
        </w:rPr>
        <w:t> 为从源头上防控群死群伤事故风险，同时引导煤矿企业尽快适应当前“招工难”的现状，通过机械化、自动化、信息化和智能化减人，通过简化生产系统减人，通过优化劳动组织减人，依据《煤矿安全规程》、《煤矿重大生产安全事故隐患判定标准》（国家安全监管总局令第85号）、《煤炭工业矿井设计规范》（GB50215-2015）、《关于减少井下作业人数提升煤矿安全保障能力的指导意见》（安</w:t>
      </w:r>
      <w:proofErr w:type="gramStart"/>
      <w:r w:rsidRPr="00C00283">
        <w:rPr>
          <w:rFonts w:ascii="宋体" w:hAnsi="宋体" w:cs="宋体" w:hint="eastAsia"/>
          <w:color w:val="333333"/>
          <w:kern w:val="0"/>
          <w:sz w:val="32"/>
          <w:szCs w:val="32"/>
          <w:bdr w:val="none" w:sz="0" w:space="0" w:color="auto" w:frame="1"/>
        </w:rPr>
        <w:t>监总煤行</w:t>
      </w:r>
      <w:proofErr w:type="gramEnd"/>
      <w:r w:rsidRPr="00C00283">
        <w:rPr>
          <w:rFonts w:ascii="宋体" w:hAnsi="宋体" w:cs="宋体" w:hint="eastAsia"/>
          <w:color w:val="333333"/>
          <w:kern w:val="0"/>
          <w:sz w:val="32"/>
          <w:szCs w:val="32"/>
          <w:bdr w:val="none" w:sz="0" w:space="0" w:color="auto" w:frame="1"/>
        </w:rPr>
        <w:t>〔2016〕64号）等法规、标准和规范性文件要求，结合当前煤矿实际，制定本标准。</w:t>
      </w:r>
    </w:p>
    <w:p w:rsidR="00C00283" w:rsidRPr="00C00283" w:rsidRDefault="00C00283" w:rsidP="00C00283">
      <w:pPr>
        <w:widowControl/>
        <w:shd w:val="clear" w:color="auto" w:fill="FFFFFF"/>
        <w:spacing w:line="560" w:lineRule="atLeast"/>
        <w:ind w:firstLine="643"/>
        <w:jc w:val="left"/>
        <w:rPr>
          <w:rFonts w:ascii="宋体" w:hAnsi="宋体" w:cs="宋体" w:hint="eastAsia"/>
          <w:color w:val="333333"/>
          <w:kern w:val="0"/>
          <w:sz w:val="32"/>
          <w:szCs w:val="32"/>
        </w:rPr>
      </w:pPr>
      <w:r w:rsidRPr="00C00283">
        <w:rPr>
          <w:rFonts w:ascii="宋体" w:hAnsi="宋体" w:cs="宋体" w:hint="eastAsia"/>
          <w:b/>
          <w:bCs/>
          <w:color w:val="333333"/>
          <w:kern w:val="0"/>
          <w:sz w:val="32"/>
          <w:szCs w:val="32"/>
          <w:bdr w:val="none" w:sz="0" w:space="0" w:color="auto" w:frame="1"/>
        </w:rPr>
        <w:t>第二条</w:t>
      </w:r>
      <w:r w:rsidRPr="00C00283">
        <w:rPr>
          <w:rFonts w:ascii="宋体" w:hAnsi="宋体" w:cs="宋体" w:hint="eastAsia"/>
          <w:color w:val="333333"/>
          <w:kern w:val="0"/>
          <w:sz w:val="32"/>
          <w:szCs w:val="32"/>
          <w:bdr w:val="none" w:sz="0" w:space="0" w:color="auto" w:frame="1"/>
        </w:rPr>
        <w:t>  本标准适用于全国所有合法的生产煤矿，建设煤矿参照执行。（本标准为推荐性标准）</w:t>
      </w:r>
    </w:p>
    <w:p w:rsidR="00C00283" w:rsidRPr="00C00283" w:rsidRDefault="00C00283" w:rsidP="00C00283">
      <w:pPr>
        <w:widowControl/>
        <w:shd w:val="clear" w:color="auto" w:fill="FFFFFF"/>
        <w:spacing w:line="560" w:lineRule="atLeast"/>
        <w:ind w:firstLine="643"/>
        <w:jc w:val="left"/>
        <w:rPr>
          <w:rFonts w:ascii="宋体" w:hAnsi="宋体" w:cs="宋体" w:hint="eastAsia"/>
          <w:color w:val="333333"/>
          <w:kern w:val="0"/>
          <w:sz w:val="32"/>
          <w:szCs w:val="32"/>
        </w:rPr>
      </w:pPr>
      <w:r w:rsidRPr="00C00283">
        <w:rPr>
          <w:rFonts w:ascii="宋体" w:hAnsi="宋体" w:cs="宋体" w:hint="eastAsia"/>
          <w:b/>
          <w:bCs/>
          <w:color w:val="333333"/>
          <w:kern w:val="0"/>
          <w:sz w:val="32"/>
          <w:szCs w:val="32"/>
          <w:bdr w:val="none" w:sz="0" w:space="0" w:color="auto" w:frame="1"/>
        </w:rPr>
        <w:t>第三条</w:t>
      </w:r>
      <w:r w:rsidRPr="00C00283">
        <w:rPr>
          <w:rFonts w:ascii="宋体" w:hAnsi="宋体" w:cs="宋体" w:hint="eastAsia"/>
          <w:color w:val="333333"/>
          <w:kern w:val="0"/>
          <w:sz w:val="32"/>
          <w:szCs w:val="32"/>
          <w:bdr w:val="none" w:sz="0" w:space="0" w:color="auto" w:frame="1"/>
        </w:rPr>
        <w:t>  全矿井单班井下作业人数应满足以下要求：</w:t>
      </w:r>
    </w:p>
    <w:p w:rsidR="00C00283" w:rsidRPr="00C00283" w:rsidRDefault="00C00283" w:rsidP="00C00283">
      <w:pPr>
        <w:widowControl/>
        <w:shd w:val="clear" w:color="auto" w:fill="FFFFFF"/>
        <w:spacing w:line="560" w:lineRule="atLeast"/>
        <w:ind w:firstLine="640"/>
        <w:jc w:val="left"/>
        <w:rPr>
          <w:rFonts w:ascii="宋体" w:hAnsi="宋体" w:cs="宋体" w:hint="eastAsia"/>
          <w:color w:val="333333"/>
          <w:kern w:val="0"/>
          <w:sz w:val="32"/>
          <w:szCs w:val="32"/>
        </w:rPr>
      </w:pPr>
      <w:r w:rsidRPr="00C00283">
        <w:rPr>
          <w:rFonts w:ascii="宋体" w:hAnsi="宋体" w:cs="宋体" w:hint="eastAsia"/>
          <w:color w:val="333333"/>
          <w:kern w:val="0"/>
          <w:sz w:val="32"/>
          <w:szCs w:val="32"/>
          <w:bdr w:val="none" w:sz="0" w:space="0" w:color="auto" w:frame="1"/>
        </w:rPr>
        <w:t>按照矿井规模，结合煤（岩）与瓦斯（二氧化碳）突出（以下简称“突出”）、水文地质类型和冲击地压等重大灾害情况，全矿井单班井下作业人数限值见表1。</w:t>
      </w:r>
    </w:p>
    <w:p w:rsidR="00C00283" w:rsidRPr="00C00283" w:rsidRDefault="00C00283" w:rsidP="00C00283">
      <w:pPr>
        <w:widowControl/>
        <w:shd w:val="clear" w:color="auto" w:fill="FFFFFF"/>
        <w:jc w:val="center"/>
        <w:rPr>
          <w:rFonts w:ascii="宋体" w:hAnsi="宋体" w:cs="宋体" w:hint="eastAsia"/>
          <w:color w:val="333333"/>
          <w:kern w:val="0"/>
          <w:sz w:val="32"/>
          <w:szCs w:val="32"/>
        </w:rPr>
      </w:pPr>
      <w:r w:rsidRPr="00C00283">
        <w:rPr>
          <w:rFonts w:ascii="宋体" w:hAnsi="宋体" w:cs="宋体" w:hint="eastAsia"/>
          <w:b/>
          <w:bCs/>
          <w:color w:val="333333"/>
          <w:kern w:val="0"/>
          <w:sz w:val="28"/>
          <w:szCs w:val="28"/>
          <w:bdr w:val="none" w:sz="0" w:space="0" w:color="auto" w:frame="1"/>
        </w:rPr>
        <w:t>表1. 全矿井单班井下作业人数标准</w:t>
      </w:r>
    </w:p>
    <w:tbl>
      <w:tblPr>
        <w:tblW w:w="5440" w:type="dxa"/>
        <w:jc w:val="center"/>
        <w:tblInd w:w="1053" w:type="dxa"/>
        <w:tblCellMar>
          <w:left w:w="0" w:type="dxa"/>
          <w:right w:w="0" w:type="dxa"/>
        </w:tblCellMar>
        <w:tblLook w:val="04A0" w:firstRow="1" w:lastRow="0" w:firstColumn="1" w:lastColumn="0" w:noHBand="0" w:noVBand="1"/>
      </w:tblPr>
      <w:tblGrid>
        <w:gridCol w:w="1339"/>
        <w:gridCol w:w="2467"/>
        <w:gridCol w:w="1634"/>
      </w:tblGrid>
      <w:tr w:rsidR="00C00283" w:rsidRPr="00C00283" w:rsidTr="00C00283">
        <w:trPr>
          <w:trHeight w:val="352"/>
          <w:jc w:val="center"/>
        </w:trPr>
        <w:tc>
          <w:tcPr>
            <w:tcW w:w="1843"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b/>
                <w:bCs/>
                <w:kern w:val="0"/>
                <w:sz w:val="24"/>
                <w:bdr w:val="none" w:sz="0" w:space="0" w:color="auto" w:frame="1"/>
              </w:rPr>
              <w:t>核定能力k</w:t>
            </w:r>
          </w:p>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b/>
                <w:bCs/>
                <w:kern w:val="0"/>
                <w:sz w:val="24"/>
                <w:bdr w:val="none" w:sz="0" w:space="0" w:color="auto" w:frame="1"/>
              </w:rPr>
              <w:t>（万t/a）</w:t>
            </w:r>
          </w:p>
        </w:tc>
        <w:tc>
          <w:tcPr>
            <w:tcW w:w="3934"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b/>
                <w:bCs/>
                <w:kern w:val="0"/>
                <w:sz w:val="24"/>
                <w:bdr w:val="none" w:sz="0" w:space="0" w:color="auto" w:frame="1"/>
              </w:rPr>
              <w:t>突出（水文地质条件复杂、极复杂，冲击地压）矿井（人）</w:t>
            </w:r>
          </w:p>
        </w:tc>
        <w:tc>
          <w:tcPr>
            <w:tcW w:w="2388" w:type="dxa"/>
            <w:tcBorders>
              <w:top w:val="single" w:sz="8" w:space="0" w:color="auto"/>
              <w:left w:val="nil"/>
              <w:bottom w:val="single" w:sz="8" w:space="0" w:color="auto"/>
              <w:right w:val="nil"/>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b/>
                <w:bCs/>
                <w:kern w:val="0"/>
                <w:sz w:val="24"/>
                <w:bdr w:val="none" w:sz="0" w:space="0" w:color="auto" w:frame="1"/>
              </w:rPr>
              <w:t>其他矿井（人）</w:t>
            </w:r>
          </w:p>
        </w:tc>
      </w:tr>
      <w:tr w:rsidR="00C00283" w:rsidRPr="00C00283" w:rsidTr="00C00283">
        <w:trPr>
          <w:trHeight w:val="352"/>
          <w:jc w:val="center"/>
        </w:trPr>
        <w:tc>
          <w:tcPr>
            <w:tcW w:w="184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kern w:val="0"/>
                <w:sz w:val="24"/>
                <w:bdr w:val="none" w:sz="0" w:space="0" w:color="auto" w:frame="1"/>
              </w:rPr>
              <w:t>＜30</w:t>
            </w:r>
          </w:p>
        </w:tc>
        <w:tc>
          <w:tcPr>
            <w:tcW w:w="39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kern w:val="0"/>
                <w:sz w:val="24"/>
                <w:bdr w:val="none" w:sz="0" w:space="0" w:color="auto" w:frame="1"/>
              </w:rPr>
              <w:t>＜100</w:t>
            </w:r>
          </w:p>
        </w:tc>
        <w:tc>
          <w:tcPr>
            <w:tcW w:w="2388" w:type="dxa"/>
            <w:tcBorders>
              <w:top w:val="nil"/>
              <w:left w:val="nil"/>
              <w:bottom w:val="single" w:sz="8" w:space="0" w:color="auto"/>
              <w:right w:val="nil"/>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kern w:val="0"/>
                <w:sz w:val="24"/>
                <w:bdr w:val="none" w:sz="0" w:space="0" w:color="auto" w:frame="1"/>
              </w:rPr>
              <w:t>＜100</w:t>
            </w:r>
          </w:p>
        </w:tc>
      </w:tr>
      <w:tr w:rsidR="00C00283" w:rsidRPr="00C00283" w:rsidTr="00C00283">
        <w:trPr>
          <w:trHeight w:val="352"/>
          <w:jc w:val="center"/>
        </w:trPr>
        <w:tc>
          <w:tcPr>
            <w:tcW w:w="184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kern w:val="0"/>
                <w:sz w:val="24"/>
                <w:bdr w:val="none" w:sz="0" w:space="0" w:color="auto" w:frame="1"/>
              </w:rPr>
              <w:t>30≤k＜120</w:t>
            </w:r>
          </w:p>
        </w:tc>
        <w:tc>
          <w:tcPr>
            <w:tcW w:w="39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kern w:val="0"/>
                <w:sz w:val="24"/>
                <w:bdr w:val="none" w:sz="0" w:space="0" w:color="auto" w:frame="1"/>
              </w:rPr>
              <w:t>＜250</w:t>
            </w:r>
          </w:p>
        </w:tc>
        <w:tc>
          <w:tcPr>
            <w:tcW w:w="2388" w:type="dxa"/>
            <w:tcBorders>
              <w:top w:val="nil"/>
              <w:left w:val="nil"/>
              <w:bottom w:val="single" w:sz="8" w:space="0" w:color="auto"/>
              <w:right w:val="nil"/>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kern w:val="0"/>
                <w:sz w:val="24"/>
                <w:bdr w:val="none" w:sz="0" w:space="0" w:color="auto" w:frame="1"/>
              </w:rPr>
              <w:t>＜200</w:t>
            </w:r>
          </w:p>
        </w:tc>
      </w:tr>
      <w:tr w:rsidR="00C00283" w:rsidRPr="00C00283" w:rsidTr="00C00283">
        <w:trPr>
          <w:trHeight w:val="352"/>
          <w:jc w:val="center"/>
        </w:trPr>
        <w:tc>
          <w:tcPr>
            <w:tcW w:w="184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kern w:val="0"/>
                <w:sz w:val="24"/>
                <w:bdr w:val="none" w:sz="0" w:space="0" w:color="auto" w:frame="1"/>
              </w:rPr>
              <w:t>120≤k＜300</w:t>
            </w:r>
          </w:p>
        </w:tc>
        <w:tc>
          <w:tcPr>
            <w:tcW w:w="39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kern w:val="0"/>
                <w:sz w:val="24"/>
                <w:bdr w:val="none" w:sz="0" w:space="0" w:color="auto" w:frame="1"/>
              </w:rPr>
              <w:t>＜700</w:t>
            </w:r>
          </w:p>
        </w:tc>
        <w:tc>
          <w:tcPr>
            <w:tcW w:w="2388" w:type="dxa"/>
            <w:tcBorders>
              <w:top w:val="nil"/>
              <w:left w:val="nil"/>
              <w:bottom w:val="single" w:sz="8" w:space="0" w:color="auto"/>
              <w:right w:val="nil"/>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kern w:val="0"/>
                <w:sz w:val="24"/>
                <w:bdr w:val="none" w:sz="0" w:space="0" w:color="auto" w:frame="1"/>
              </w:rPr>
              <w:t>＜500</w:t>
            </w:r>
          </w:p>
        </w:tc>
      </w:tr>
      <w:tr w:rsidR="00C00283" w:rsidRPr="00C00283" w:rsidTr="00C00283">
        <w:trPr>
          <w:trHeight w:val="362"/>
          <w:jc w:val="center"/>
        </w:trPr>
        <w:tc>
          <w:tcPr>
            <w:tcW w:w="184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kern w:val="0"/>
                <w:sz w:val="24"/>
                <w:bdr w:val="none" w:sz="0" w:space="0" w:color="auto" w:frame="1"/>
              </w:rPr>
              <w:lastRenderedPageBreak/>
              <w:t>≥300</w:t>
            </w:r>
          </w:p>
        </w:tc>
        <w:tc>
          <w:tcPr>
            <w:tcW w:w="39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kern w:val="0"/>
                <w:sz w:val="24"/>
                <w:bdr w:val="none" w:sz="0" w:space="0" w:color="auto" w:frame="1"/>
              </w:rPr>
              <w:t>＜900</w:t>
            </w:r>
          </w:p>
        </w:tc>
        <w:tc>
          <w:tcPr>
            <w:tcW w:w="2388" w:type="dxa"/>
            <w:tcBorders>
              <w:top w:val="nil"/>
              <w:left w:val="nil"/>
              <w:bottom w:val="single" w:sz="8" w:space="0" w:color="auto"/>
              <w:right w:val="nil"/>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kern w:val="0"/>
                <w:sz w:val="24"/>
                <w:bdr w:val="none" w:sz="0" w:space="0" w:color="auto" w:frame="1"/>
              </w:rPr>
              <w:t>＜800</w:t>
            </w:r>
          </w:p>
        </w:tc>
      </w:tr>
    </w:tbl>
    <w:p w:rsidR="00C00283" w:rsidRPr="00C00283" w:rsidRDefault="00C00283" w:rsidP="00C00283">
      <w:pPr>
        <w:widowControl/>
        <w:shd w:val="clear" w:color="auto" w:fill="FFFFFF"/>
        <w:spacing w:line="560" w:lineRule="atLeast"/>
        <w:jc w:val="left"/>
        <w:rPr>
          <w:rFonts w:ascii="宋体" w:hAnsi="宋体" w:cs="宋体" w:hint="eastAsia"/>
          <w:color w:val="333333"/>
          <w:kern w:val="0"/>
          <w:sz w:val="32"/>
          <w:szCs w:val="32"/>
        </w:rPr>
      </w:pPr>
      <w:r w:rsidRPr="00C00283">
        <w:rPr>
          <w:rFonts w:ascii="宋体" w:hAnsi="宋体" w:cs="宋体" w:hint="eastAsia"/>
          <w:color w:val="333333"/>
          <w:kern w:val="0"/>
          <w:sz w:val="32"/>
          <w:szCs w:val="32"/>
          <w:bdr w:val="none" w:sz="0" w:space="0" w:color="auto" w:frame="1"/>
        </w:rPr>
        <w:t> </w:t>
      </w:r>
    </w:p>
    <w:p w:rsidR="00C00283" w:rsidRPr="00C00283" w:rsidRDefault="00C00283" w:rsidP="00C00283">
      <w:pPr>
        <w:widowControl/>
        <w:shd w:val="clear" w:color="auto" w:fill="FFFFFF"/>
        <w:spacing w:line="560" w:lineRule="atLeast"/>
        <w:ind w:firstLine="643"/>
        <w:jc w:val="left"/>
        <w:rPr>
          <w:rFonts w:ascii="宋体" w:hAnsi="宋体" w:cs="宋体" w:hint="eastAsia"/>
          <w:color w:val="333333"/>
          <w:kern w:val="0"/>
          <w:sz w:val="32"/>
          <w:szCs w:val="32"/>
        </w:rPr>
      </w:pPr>
      <w:r w:rsidRPr="00C00283">
        <w:rPr>
          <w:rFonts w:ascii="宋体" w:hAnsi="宋体" w:cs="宋体" w:hint="eastAsia"/>
          <w:b/>
          <w:bCs/>
          <w:color w:val="333333"/>
          <w:kern w:val="0"/>
          <w:sz w:val="32"/>
          <w:szCs w:val="32"/>
          <w:bdr w:val="none" w:sz="0" w:space="0" w:color="auto" w:frame="1"/>
        </w:rPr>
        <w:t>第四条</w:t>
      </w:r>
      <w:r w:rsidRPr="00C00283">
        <w:rPr>
          <w:rFonts w:ascii="宋体" w:hAnsi="宋体" w:cs="宋体" w:hint="eastAsia"/>
          <w:color w:val="333333"/>
          <w:kern w:val="0"/>
          <w:sz w:val="32"/>
          <w:szCs w:val="32"/>
          <w:bdr w:val="none" w:sz="0" w:space="0" w:color="auto" w:frame="1"/>
        </w:rPr>
        <w:t>  采（盘）区和采、掘工作面单班作业人数应满足以下要求：</w:t>
      </w:r>
    </w:p>
    <w:p w:rsidR="00C00283" w:rsidRPr="00C00283" w:rsidRDefault="00C00283" w:rsidP="00C00283">
      <w:pPr>
        <w:widowControl/>
        <w:shd w:val="clear" w:color="auto" w:fill="FFFFFF"/>
        <w:spacing w:line="560" w:lineRule="atLeast"/>
        <w:ind w:firstLine="640"/>
        <w:jc w:val="left"/>
        <w:rPr>
          <w:rFonts w:ascii="宋体" w:hAnsi="宋体" w:cs="宋体" w:hint="eastAsia"/>
          <w:color w:val="333333"/>
          <w:kern w:val="0"/>
          <w:sz w:val="32"/>
          <w:szCs w:val="32"/>
        </w:rPr>
      </w:pPr>
      <w:r w:rsidRPr="00C00283">
        <w:rPr>
          <w:rFonts w:ascii="宋体" w:hAnsi="宋体" w:cs="宋体" w:hint="eastAsia"/>
          <w:color w:val="333333"/>
          <w:kern w:val="0"/>
          <w:sz w:val="32"/>
          <w:szCs w:val="32"/>
          <w:bdr w:val="none" w:sz="0" w:space="0" w:color="auto" w:frame="1"/>
        </w:rPr>
        <w:t>采（盘）区、采煤工作面（包括工作面及进、回风巷，下同）和掘进工作面（从掘进迎头至工作面回风流与全风压风流混合处，下同）作业人数定员以日平均单班作业人数为指标。不同灾害程度煤矿的采（盘）区、采煤工作面、煤巷掘进工作面、</w:t>
      </w:r>
      <w:proofErr w:type="gramStart"/>
      <w:r w:rsidRPr="00C00283">
        <w:rPr>
          <w:rFonts w:ascii="宋体" w:hAnsi="宋体" w:cs="宋体" w:hint="eastAsia"/>
          <w:color w:val="333333"/>
          <w:kern w:val="0"/>
          <w:sz w:val="32"/>
          <w:szCs w:val="32"/>
          <w:bdr w:val="none" w:sz="0" w:space="0" w:color="auto" w:frame="1"/>
        </w:rPr>
        <w:t>岩巷掘进</w:t>
      </w:r>
      <w:proofErr w:type="gramEnd"/>
      <w:r w:rsidRPr="00C00283">
        <w:rPr>
          <w:rFonts w:ascii="宋体" w:hAnsi="宋体" w:cs="宋体" w:hint="eastAsia"/>
          <w:color w:val="333333"/>
          <w:kern w:val="0"/>
          <w:sz w:val="32"/>
          <w:szCs w:val="32"/>
          <w:bdr w:val="none" w:sz="0" w:space="0" w:color="auto" w:frame="1"/>
        </w:rPr>
        <w:t>工作面的日平均单班作业人数限值见表2。作业人数只计算从事生产作业人员的数量，矿井领导、职能部门带班巡查等人员不计入定员。</w:t>
      </w:r>
    </w:p>
    <w:p w:rsidR="00C00283" w:rsidRPr="00C00283" w:rsidRDefault="00C00283" w:rsidP="00C00283">
      <w:pPr>
        <w:widowControl/>
        <w:shd w:val="clear" w:color="auto" w:fill="FFFFFF"/>
        <w:jc w:val="center"/>
        <w:rPr>
          <w:rFonts w:ascii="宋体" w:hAnsi="宋体" w:cs="宋体" w:hint="eastAsia"/>
          <w:color w:val="333333"/>
          <w:kern w:val="0"/>
          <w:sz w:val="32"/>
          <w:szCs w:val="32"/>
        </w:rPr>
      </w:pPr>
      <w:r w:rsidRPr="00C00283">
        <w:rPr>
          <w:rFonts w:ascii="宋体" w:hAnsi="宋体" w:cs="宋体" w:hint="eastAsia"/>
          <w:b/>
          <w:bCs/>
          <w:color w:val="333333"/>
          <w:kern w:val="0"/>
          <w:sz w:val="28"/>
          <w:szCs w:val="28"/>
          <w:bdr w:val="none" w:sz="0" w:space="0" w:color="auto" w:frame="1"/>
        </w:rPr>
        <w:t>表2. 采（盘）区和采、掘工作面日平均单班作业人数标准</w:t>
      </w:r>
    </w:p>
    <w:tbl>
      <w:tblPr>
        <w:tblW w:w="5000" w:type="pct"/>
        <w:jc w:val="center"/>
        <w:tblCellMar>
          <w:left w:w="0" w:type="dxa"/>
          <w:right w:w="0" w:type="dxa"/>
        </w:tblCellMar>
        <w:tblLook w:val="04A0" w:firstRow="1" w:lastRow="0" w:firstColumn="1" w:lastColumn="0" w:noHBand="0" w:noVBand="1"/>
      </w:tblPr>
      <w:tblGrid>
        <w:gridCol w:w="1668"/>
        <w:gridCol w:w="1667"/>
        <w:gridCol w:w="1667"/>
        <w:gridCol w:w="1667"/>
        <w:gridCol w:w="1667"/>
      </w:tblGrid>
      <w:tr w:rsidR="00C00283" w:rsidRPr="00C00283" w:rsidTr="00C00283">
        <w:trPr>
          <w:trHeight w:val="723"/>
          <w:jc w:val="center"/>
        </w:trPr>
        <w:tc>
          <w:tcPr>
            <w:tcW w:w="1000"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b/>
                <w:bCs/>
                <w:kern w:val="0"/>
                <w:sz w:val="24"/>
                <w:bdr w:val="none" w:sz="0" w:space="0" w:color="auto" w:frame="1"/>
              </w:rPr>
              <w:t>瓦斯（灾害）等级</w:t>
            </w:r>
          </w:p>
        </w:tc>
        <w:tc>
          <w:tcPr>
            <w:tcW w:w="1000"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b/>
                <w:bCs/>
                <w:kern w:val="0"/>
                <w:sz w:val="24"/>
                <w:bdr w:val="none" w:sz="0" w:space="0" w:color="auto" w:frame="1"/>
              </w:rPr>
              <w:t>采（盘）区（人）</w:t>
            </w:r>
          </w:p>
        </w:tc>
        <w:tc>
          <w:tcPr>
            <w:tcW w:w="1000"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b/>
                <w:bCs/>
                <w:kern w:val="0"/>
                <w:sz w:val="24"/>
                <w:bdr w:val="none" w:sz="0" w:space="0" w:color="auto" w:frame="1"/>
              </w:rPr>
              <w:t>采煤工作面</w:t>
            </w:r>
          </w:p>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b/>
                <w:bCs/>
                <w:kern w:val="0"/>
                <w:sz w:val="24"/>
                <w:bdr w:val="none" w:sz="0" w:space="0" w:color="auto" w:frame="1"/>
              </w:rPr>
              <w:t>（人）</w:t>
            </w:r>
          </w:p>
        </w:tc>
        <w:tc>
          <w:tcPr>
            <w:tcW w:w="1000"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b/>
                <w:bCs/>
                <w:kern w:val="0"/>
                <w:sz w:val="24"/>
                <w:bdr w:val="none" w:sz="0" w:space="0" w:color="auto" w:frame="1"/>
              </w:rPr>
              <w:t>煤巷</w:t>
            </w:r>
          </w:p>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b/>
                <w:bCs/>
                <w:kern w:val="0"/>
                <w:sz w:val="24"/>
                <w:bdr w:val="none" w:sz="0" w:space="0" w:color="auto" w:frame="1"/>
              </w:rPr>
              <w:t>掘进工作面（人）</w:t>
            </w:r>
          </w:p>
        </w:tc>
        <w:tc>
          <w:tcPr>
            <w:tcW w:w="1000" w:type="pct"/>
            <w:tcBorders>
              <w:top w:val="single" w:sz="8" w:space="0" w:color="000000"/>
              <w:left w:val="nil"/>
              <w:bottom w:val="single" w:sz="8" w:space="0" w:color="000000"/>
              <w:right w:val="nil"/>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b/>
                <w:bCs/>
                <w:kern w:val="0"/>
                <w:sz w:val="24"/>
                <w:bdr w:val="none" w:sz="0" w:space="0" w:color="auto" w:frame="1"/>
              </w:rPr>
              <w:t>岩巷</w:t>
            </w:r>
          </w:p>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b/>
                <w:bCs/>
                <w:kern w:val="0"/>
                <w:sz w:val="24"/>
                <w:bdr w:val="none" w:sz="0" w:space="0" w:color="auto" w:frame="1"/>
              </w:rPr>
              <w:t>掘进工作面</w:t>
            </w:r>
          </w:p>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b/>
                <w:bCs/>
                <w:kern w:val="0"/>
                <w:sz w:val="24"/>
                <w:bdr w:val="none" w:sz="0" w:space="0" w:color="auto" w:frame="1"/>
              </w:rPr>
              <w:t>（人）</w:t>
            </w:r>
          </w:p>
        </w:tc>
      </w:tr>
      <w:tr w:rsidR="00C00283" w:rsidRPr="00C00283" w:rsidTr="00C00283">
        <w:trPr>
          <w:trHeight w:val="301"/>
          <w:jc w:val="center"/>
        </w:trPr>
        <w:tc>
          <w:tcPr>
            <w:tcW w:w="100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kern w:val="0"/>
                <w:sz w:val="24"/>
                <w:bdr w:val="none" w:sz="0" w:space="0" w:color="auto" w:frame="1"/>
              </w:rPr>
              <w:t>突出（水文地质条件复杂、极复杂，冲击地压）</w:t>
            </w:r>
          </w:p>
        </w:tc>
        <w:tc>
          <w:tcPr>
            <w:tcW w:w="100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kern w:val="0"/>
                <w:sz w:val="24"/>
                <w:bdr w:val="none" w:sz="0" w:space="0" w:color="auto" w:frame="1"/>
              </w:rPr>
              <w:t>＜100</w:t>
            </w:r>
          </w:p>
        </w:tc>
        <w:tc>
          <w:tcPr>
            <w:tcW w:w="100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kern w:val="0"/>
                <w:sz w:val="24"/>
                <w:bdr w:val="none" w:sz="0" w:space="0" w:color="auto" w:frame="1"/>
              </w:rPr>
              <w:t>＜34</w:t>
            </w:r>
          </w:p>
        </w:tc>
        <w:tc>
          <w:tcPr>
            <w:tcW w:w="100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kern w:val="0"/>
                <w:sz w:val="24"/>
                <w:bdr w:val="none" w:sz="0" w:space="0" w:color="auto" w:frame="1"/>
              </w:rPr>
              <w:t>＜18</w:t>
            </w:r>
          </w:p>
        </w:tc>
        <w:tc>
          <w:tcPr>
            <w:tcW w:w="1000" w:type="pct"/>
            <w:tcBorders>
              <w:top w:val="nil"/>
              <w:left w:val="nil"/>
              <w:bottom w:val="single" w:sz="8" w:space="0" w:color="000000"/>
              <w:right w:val="nil"/>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kern w:val="0"/>
                <w:sz w:val="24"/>
                <w:bdr w:val="none" w:sz="0" w:space="0" w:color="auto" w:frame="1"/>
              </w:rPr>
              <w:t>＜14</w:t>
            </w:r>
          </w:p>
        </w:tc>
      </w:tr>
      <w:tr w:rsidR="00C00283" w:rsidRPr="00C00283" w:rsidTr="00C00283">
        <w:trPr>
          <w:trHeight w:val="512"/>
          <w:jc w:val="center"/>
        </w:trPr>
        <w:tc>
          <w:tcPr>
            <w:tcW w:w="100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kern w:val="0"/>
                <w:sz w:val="24"/>
                <w:bdr w:val="none" w:sz="0" w:space="0" w:color="auto" w:frame="1"/>
              </w:rPr>
              <w:t>高瓦斯</w:t>
            </w:r>
          </w:p>
        </w:tc>
        <w:tc>
          <w:tcPr>
            <w:tcW w:w="100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kern w:val="0"/>
                <w:sz w:val="24"/>
                <w:bdr w:val="none" w:sz="0" w:space="0" w:color="auto" w:frame="1"/>
              </w:rPr>
              <w:t>＜90</w:t>
            </w:r>
          </w:p>
        </w:tc>
        <w:tc>
          <w:tcPr>
            <w:tcW w:w="100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kern w:val="0"/>
                <w:sz w:val="24"/>
                <w:bdr w:val="none" w:sz="0" w:space="0" w:color="auto" w:frame="1"/>
              </w:rPr>
              <w:t>＜32</w:t>
            </w:r>
          </w:p>
        </w:tc>
        <w:tc>
          <w:tcPr>
            <w:tcW w:w="100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kern w:val="0"/>
                <w:sz w:val="24"/>
                <w:bdr w:val="none" w:sz="0" w:space="0" w:color="auto" w:frame="1"/>
              </w:rPr>
              <w:t>＜15</w:t>
            </w:r>
          </w:p>
        </w:tc>
        <w:tc>
          <w:tcPr>
            <w:tcW w:w="1000" w:type="pct"/>
            <w:tcBorders>
              <w:top w:val="nil"/>
              <w:left w:val="nil"/>
              <w:bottom w:val="single" w:sz="8" w:space="0" w:color="000000"/>
              <w:right w:val="nil"/>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kern w:val="0"/>
                <w:sz w:val="24"/>
                <w:bdr w:val="none" w:sz="0" w:space="0" w:color="auto" w:frame="1"/>
              </w:rPr>
              <w:t>＜14</w:t>
            </w:r>
          </w:p>
        </w:tc>
      </w:tr>
      <w:tr w:rsidR="00C00283" w:rsidRPr="00C00283" w:rsidTr="00C00283">
        <w:trPr>
          <w:trHeight w:val="533"/>
          <w:jc w:val="center"/>
        </w:trPr>
        <w:tc>
          <w:tcPr>
            <w:tcW w:w="100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kern w:val="0"/>
                <w:sz w:val="24"/>
                <w:bdr w:val="none" w:sz="0" w:space="0" w:color="auto" w:frame="1"/>
              </w:rPr>
              <w:t>低瓦斯</w:t>
            </w:r>
          </w:p>
        </w:tc>
        <w:tc>
          <w:tcPr>
            <w:tcW w:w="100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kern w:val="0"/>
                <w:sz w:val="24"/>
                <w:bdr w:val="none" w:sz="0" w:space="0" w:color="auto" w:frame="1"/>
              </w:rPr>
              <w:t>＜80</w:t>
            </w:r>
          </w:p>
        </w:tc>
        <w:tc>
          <w:tcPr>
            <w:tcW w:w="100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kern w:val="0"/>
                <w:sz w:val="24"/>
                <w:bdr w:val="none" w:sz="0" w:space="0" w:color="auto" w:frame="1"/>
              </w:rPr>
              <w:t>＜25</w:t>
            </w:r>
          </w:p>
        </w:tc>
        <w:tc>
          <w:tcPr>
            <w:tcW w:w="100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kern w:val="0"/>
                <w:sz w:val="24"/>
                <w:bdr w:val="none" w:sz="0" w:space="0" w:color="auto" w:frame="1"/>
              </w:rPr>
              <w:t>＜12</w:t>
            </w:r>
          </w:p>
        </w:tc>
        <w:tc>
          <w:tcPr>
            <w:tcW w:w="1000" w:type="pct"/>
            <w:tcBorders>
              <w:top w:val="nil"/>
              <w:left w:val="nil"/>
              <w:bottom w:val="single" w:sz="8" w:space="0" w:color="000000"/>
              <w:right w:val="nil"/>
            </w:tcBorders>
            <w:tcMar>
              <w:top w:w="15" w:type="dxa"/>
              <w:left w:w="15" w:type="dxa"/>
              <w:bottom w:w="15" w:type="dxa"/>
              <w:right w:w="15" w:type="dxa"/>
            </w:tcMar>
            <w:vAlign w:val="center"/>
            <w:hideMark/>
          </w:tcPr>
          <w:p w:rsidR="00C00283" w:rsidRPr="00C00283" w:rsidRDefault="00C00283" w:rsidP="00C00283">
            <w:pPr>
              <w:widowControl/>
              <w:jc w:val="center"/>
              <w:textAlignment w:val="center"/>
              <w:rPr>
                <w:rFonts w:ascii="宋体" w:hAnsi="宋体" w:cs="宋体"/>
                <w:kern w:val="0"/>
                <w:sz w:val="24"/>
              </w:rPr>
            </w:pPr>
            <w:r w:rsidRPr="00C00283">
              <w:rPr>
                <w:rFonts w:ascii="宋体" w:hAnsi="宋体" w:cs="宋体"/>
                <w:kern w:val="0"/>
                <w:sz w:val="24"/>
                <w:bdr w:val="none" w:sz="0" w:space="0" w:color="auto" w:frame="1"/>
              </w:rPr>
              <w:t>＜14</w:t>
            </w:r>
          </w:p>
        </w:tc>
      </w:tr>
    </w:tbl>
    <w:p w:rsidR="00C00283" w:rsidRPr="00C00283" w:rsidRDefault="00C00283" w:rsidP="00C00283">
      <w:pPr>
        <w:widowControl/>
        <w:shd w:val="clear" w:color="auto" w:fill="FFFFFF"/>
        <w:spacing w:line="560" w:lineRule="atLeast"/>
        <w:jc w:val="center"/>
        <w:rPr>
          <w:rFonts w:ascii="宋体" w:hAnsi="宋体" w:cs="宋体" w:hint="eastAsia"/>
          <w:color w:val="333333"/>
          <w:kern w:val="0"/>
          <w:sz w:val="32"/>
          <w:szCs w:val="32"/>
        </w:rPr>
      </w:pPr>
      <w:r w:rsidRPr="00C00283">
        <w:rPr>
          <w:rFonts w:ascii="宋体" w:hAnsi="宋体" w:cs="宋体" w:hint="eastAsia"/>
          <w:color w:val="333333"/>
          <w:kern w:val="0"/>
          <w:sz w:val="32"/>
          <w:szCs w:val="32"/>
          <w:bdr w:val="none" w:sz="0" w:space="0" w:color="auto" w:frame="1"/>
        </w:rPr>
        <w:t> </w:t>
      </w:r>
    </w:p>
    <w:p w:rsidR="00C00283" w:rsidRPr="00C00283" w:rsidRDefault="00C00283" w:rsidP="00C00283">
      <w:pPr>
        <w:widowControl/>
        <w:shd w:val="clear" w:color="auto" w:fill="FFFFFF"/>
        <w:spacing w:line="560" w:lineRule="atLeast"/>
        <w:ind w:firstLine="643"/>
        <w:jc w:val="left"/>
        <w:rPr>
          <w:rFonts w:ascii="宋体" w:hAnsi="宋体" w:cs="宋体" w:hint="eastAsia"/>
          <w:color w:val="333333"/>
          <w:kern w:val="0"/>
          <w:sz w:val="32"/>
          <w:szCs w:val="32"/>
        </w:rPr>
      </w:pPr>
      <w:r w:rsidRPr="00C00283">
        <w:rPr>
          <w:rFonts w:ascii="宋体" w:hAnsi="宋体" w:cs="宋体" w:hint="eastAsia"/>
          <w:b/>
          <w:bCs/>
          <w:color w:val="333333"/>
          <w:kern w:val="0"/>
          <w:sz w:val="32"/>
          <w:szCs w:val="32"/>
          <w:bdr w:val="none" w:sz="0" w:space="0" w:color="auto" w:frame="1"/>
        </w:rPr>
        <w:t>第五条</w:t>
      </w:r>
      <w:r w:rsidRPr="00C00283">
        <w:rPr>
          <w:rFonts w:ascii="宋体" w:hAnsi="宋体" w:cs="宋体" w:hint="eastAsia"/>
          <w:color w:val="333333"/>
          <w:kern w:val="0"/>
          <w:sz w:val="32"/>
          <w:szCs w:val="32"/>
          <w:bdr w:val="none" w:sz="0" w:space="0" w:color="auto" w:frame="1"/>
        </w:rPr>
        <w:t>  各省级煤矿安全监管部门可依据本标准制定本地区煤矿井下单班作业人数细化标准。</w:t>
      </w:r>
    </w:p>
    <w:p w:rsidR="00C00283" w:rsidRPr="00C00283" w:rsidRDefault="00C00283" w:rsidP="00C00283">
      <w:pPr>
        <w:widowControl/>
        <w:shd w:val="clear" w:color="auto" w:fill="FFFFFF"/>
        <w:spacing w:line="560" w:lineRule="atLeast"/>
        <w:ind w:firstLine="643"/>
        <w:jc w:val="left"/>
        <w:rPr>
          <w:rFonts w:ascii="宋体" w:hAnsi="宋体" w:cs="宋体" w:hint="eastAsia"/>
          <w:color w:val="333333"/>
          <w:kern w:val="0"/>
          <w:sz w:val="32"/>
          <w:szCs w:val="32"/>
        </w:rPr>
      </w:pPr>
      <w:r w:rsidRPr="00C00283">
        <w:rPr>
          <w:rFonts w:ascii="宋体" w:hAnsi="宋体" w:cs="宋体" w:hint="eastAsia"/>
          <w:b/>
          <w:bCs/>
          <w:color w:val="333333"/>
          <w:kern w:val="0"/>
          <w:sz w:val="32"/>
          <w:szCs w:val="32"/>
          <w:bdr w:val="none" w:sz="0" w:space="0" w:color="auto" w:frame="1"/>
        </w:rPr>
        <w:t>第六条</w:t>
      </w:r>
      <w:r w:rsidRPr="00C00283">
        <w:rPr>
          <w:rFonts w:ascii="宋体" w:hAnsi="宋体" w:cs="宋体" w:hint="eastAsia"/>
          <w:color w:val="333333"/>
          <w:kern w:val="0"/>
          <w:sz w:val="32"/>
          <w:szCs w:val="32"/>
          <w:bdr w:val="none" w:sz="0" w:space="0" w:color="auto" w:frame="1"/>
        </w:rPr>
        <w:t>  煤矿企业应按照本标准制定本单位的劳动定员制度，并严格落实。</w:t>
      </w:r>
    </w:p>
    <w:p w:rsidR="00C00283" w:rsidRPr="00C00283" w:rsidRDefault="00C00283" w:rsidP="00C00283">
      <w:pPr>
        <w:widowControl/>
        <w:shd w:val="clear" w:color="auto" w:fill="FFFFFF"/>
        <w:spacing w:line="560" w:lineRule="atLeast"/>
        <w:ind w:firstLine="643"/>
        <w:jc w:val="left"/>
        <w:rPr>
          <w:rFonts w:ascii="宋体" w:hAnsi="宋体" w:cs="宋体" w:hint="eastAsia"/>
          <w:color w:val="333333"/>
          <w:kern w:val="0"/>
          <w:sz w:val="32"/>
          <w:szCs w:val="32"/>
        </w:rPr>
      </w:pPr>
      <w:r w:rsidRPr="00C00283">
        <w:rPr>
          <w:rFonts w:ascii="宋体" w:hAnsi="宋体" w:cs="宋体" w:hint="eastAsia"/>
          <w:b/>
          <w:bCs/>
          <w:color w:val="333333"/>
          <w:kern w:val="0"/>
          <w:sz w:val="32"/>
          <w:szCs w:val="32"/>
          <w:bdr w:val="none" w:sz="0" w:space="0" w:color="auto" w:frame="1"/>
        </w:rPr>
        <w:lastRenderedPageBreak/>
        <w:t>第七条</w:t>
      </w:r>
      <w:r w:rsidRPr="00C00283">
        <w:rPr>
          <w:rFonts w:ascii="宋体" w:hAnsi="宋体" w:cs="宋体" w:hint="eastAsia"/>
          <w:color w:val="333333"/>
          <w:kern w:val="0"/>
          <w:sz w:val="32"/>
          <w:szCs w:val="32"/>
          <w:bdr w:val="none" w:sz="0" w:space="0" w:color="auto" w:frame="1"/>
        </w:rPr>
        <w:t>  本标准自2018年  月  日起执行。</w:t>
      </w:r>
    </w:p>
    <w:p w:rsidR="00F0496C" w:rsidRPr="00C00283" w:rsidRDefault="00F0496C"/>
    <w:sectPr w:rsidR="00F0496C" w:rsidRPr="00C002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116" w:rsidRDefault="00357116" w:rsidP="00C00283">
      <w:r>
        <w:separator/>
      </w:r>
    </w:p>
  </w:endnote>
  <w:endnote w:type="continuationSeparator" w:id="0">
    <w:p w:rsidR="00357116" w:rsidRDefault="00357116" w:rsidP="00C0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116" w:rsidRDefault="00357116" w:rsidP="00C00283">
      <w:r>
        <w:separator/>
      </w:r>
    </w:p>
  </w:footnote>
  <w:footnote w:type="continuationSeparator" w:id="0">
    <w:p w:rsidR="00357116" w:rsidRDefault="00357116" w:rsidP="00C00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6D4"/>
    <w:rsid w:val="000044DC"/>
    <w:rsid w:val="00021502"/>
    <w:rsid w:val="00026FAC"/>
    <w:rsid w:val="00041F3B"/>
    <w:rsid w:val="000459C1"/>
    <w:rsid w:val="00045C5C"/>
    <w:rsid w:val="000465E8"/>
    <w:rsid w:val="000554B8"/>
    <w:rsid w:val="000560CB"/>
    <w:rsid w:val="00062A50"/>
    <w:rsid w:val="00064BCE"/>
    <w:rsid w:val="00086D51"/>
    <w:rsid w:val="000B1C95"/>
    <w:rsid w:val="000C386F"/>
    <w:rsid w:val="000E589B"/>
    <w:rsid w:val="000F1079"/>
    <w:rsid w:val="000F632B"/>
    <w:rsid w:val="00101E6D"/>
    <w:rsid w:val="00114A4E"/>
    <w:rsid w:val="0011501F"/>
    <w:rsid w:val="00127B69"/>
    <w:rsid w:val="00132453"/>
    <w:rsid w:val="001338CC"/>
    <w:rsid w:val="00147653"/>
    <w:rsid w:val="00147831"/>
    <w:rsid w:val="0018085B"/>
    <w:rsid w:val="00186E79"/>
    <w:rsid w:val="001A0512"/>
    <w:rsid w:val="001B4C48"/>
    <w:rsid w:val="001B57ED"/>
    <w:rsid w:val="001C4FE3"/>
    <w:rsid w:val="001C57F2"/>
    <w:rsid w:val="001D16CA"/>
    <w:rsid w:val="001F2F9C"/>
    <w:rsid w:val="002066A5"/>
    <w:rsid w:val="00207014"/>
    <w:rsid w:val="00210017"/>
    <w:rsid w:val="00235B68"/>
    <w:rsid w:val="00255BDB"/>
    <w:rsid w:val="002643FC"/>
    <w:rsid w:val="002726AB"/>
    <w:rsid w:val="0027749A"/>
    <w:rsid w:val="0028087B"/>
    <w:rsid w:val="00287A71"/>
    <w:rsid w:val="002954BE"/>
    <w:rsid w:val="00295C42"/>
    <w:rsid w:val="002B1B0E"/>
    <w:rsid w:val="002B5B4A"/>
    <w:rsid w:val="002D089F"/>
    <w:rsid w:val="002D0A9D"/>
    <w:rsid w:val="002D2B28"/>
    <w:rsid w:val="002F687C"/>
    <w:rsid w:val="002F7EE6"/>
    <w:rsid w:val="00342525"/>
    <w:rsid w:val="00351DBA"/>
    <w:rsid w:val="00354AD1"/>
    <w:rsid w:val="00357116"/>
    <w:rsid w:val="00361436"/>
    <w:rsid w:val="00364411"/>
    <w:rsid w:val="003665B6"/>
    <w:rsid w:val="003765F7"/>
    <w:rsid w:val="00380A22"/>
    <w:rsid w:val="003A6E65"/>
    <w:rsid w:val="003C0878"/>
    <w:rsid w:val="003D0D4D"/>
    <w:rsid w:val="003D0FA9"/>
    <w:rsid w:val="003D1909"/>
    <w:rsid w:val="003D603F"/>
    <w:rsid w:val="003D751E"/>
    <w:rsid w:val="003E6D43"/>
    <w:rsid w:val="003F5BEB"/>
    <w:rsid w:val="00407D5A"/>
    <w:rsid w:val="004111A2"/>
    <w:rsid w:val="004116E7"/>
    <w:rsid w:val="00414C9C"/>
    <w:rsid w:val="00446A5E"/>
    <w:rsid w:val="00447A47"/>
    <w:rsid w:val="00454272"/>
    <w:rsid w:val="00456BF6"/>
    <w:rsid w:val="00466BFE"/>
    <w:rsid w:val="00475CE1"/>
    <w:rsid w:val="00492700"/>
    <w:rsid w:val="004B1361"/>
    <w:rsid w:val="004B340D"/>
    <w:rsid w:val="004C1F41"/>
    <w:rsid w:val="004C7138"/>
    <w:rsid w:val="004D72D2"/>
    <w:rsid w:val="004E2E89"/>
    <w:rsid w:val="004E565B"/>
    <w:rsid w:val="004E6838"/>
    <w:rsid w:val="005027E3"/>
    <w:rsid w:val="00511D0D"/>
    <w:rsid w:val="0053058A"/>
    <w:rsid w:val="00532DF2"/>
    <w:rsid w:val="00533DE2"/>
    <w:rsid w:val="005421BB"/>
    <w:rsid w:val="0054290C"/>
    <w:rsid w:val="005448EC"/>
    <w:rsid w:val="005538F5"/>
    <w:rsid w:val="00554B6C"/>
    <w:rsid w:val="00562F22"/>
    <w:rsid w:val="0058122E"/>
    <w:rsid w:val="005A2C6F"/>
    <w:rsid w:val="005A743E"/>
    <w:rsid w:val="005B386C"/>
    <w:rsid w:val="005B5066"/>
    <w:rsid w:val="005C0D34"/>
    <w:rsid w:val="005C4FD8"/>
    <w:rsid w:val="005F1C1B"/>
    <w:rsid w:val="005F5EE9"/>
    <w:rsid w:val="006179D6"/>
    <w:rsid w:val="00641E1C"/>
    <w:rsid w:val="006448A3"/>
    <w:rsid w:val="00645C3B"/>
    <w:rsid w:val="0065080B"/>
    <w:rsid w:val="006510CD"/>
    <w:rsid w:val="006536C1"/>
    <w:rsid w:val="00655FBF"/>
    <w:rsid w:val="006624A3"/>
    <w:rsid w:val="00692684"/>
    <w:rsid w:val="00696A76"/>
    <w:rsid w:val="006A2B07"/>
    <w:rsid w:val="006C08F8"/>
    <w:rsid w:val="006C27D3"/>
    <w:rsid w:val="006C46BE"/>
    <w:rsid w:val="006C6CF5"/>
    <w:rsid w:val="006E71F2"/>
    <w:rsid w:val="006F7A13"/>
    <w:rsid w:val="0070649E"/>
    <w:rsid w:val="00750CF3"/>
    <w:rsid w:val="0077341E"/>
    <w:rsid w:val="00794503"/>
    <w:rsid w:val="00794E68"/>
    <w:rsid w:val="007B0DF2"/>
    <w:rsid w:val="007C49C6"/>
    <w:rsid w:val="007D3EC6"/>
    <w:rsid w:val="007D5CD4"/>
    <w:rsid w:val="007F6551"/>
    <w:rsid w:val="008033E8"/>
    <w:rsid w:val="008175D2"/>
    <w:rsid w:val="008231AA"/>
    <w:rsid w:val="00823B2E"/>
    <w:rsid w:val="008300BD"/>
    <w:rsid w:val="008337A5"/>
    <w:rsid w:val="00843E98"/>
    <w:rsid w:val="008650D7"/>
    <w:rsid w:val="008725ED"/>
    <w:rsid w:val="00883745"/>
    <w:rsid w:val="008C4D3A"/>
    <w:rsid w:val="008E45BF"/>
    <w:rsid w:val="008E4812"/>
    <w:rsid w:val="008E509D"/>
    <w:rsid w:val="008F3DA4"/>
    <w:rsid w:val="008F62D1"/>
    <w:rsid w:val="00903225"/>
    <w:rsid w:val="00903EAF"/>
    <w:rsid w:val="0090536E"/>
    <w:rsid w:val="009070A8"/>
    <w:rsid w:val="009148F6"/>
    <w:rsid w:val="00922B5D"/>
    <w:rsid w:val="00927ED2"/>
    <w:rsid w:val="00931621"/>
    <w:rsid w:val="009368FC"/>
    <w:rsid w:val="00936E43"/>
    <w:rsid w:val="00946B74"/>
    <w:rsid w:val="0094723D"/>
    <w:rsid w:val="009507FB"/>
    <w:rsid w:val="00951BE9"/>
    <w:rsid w:val="009557DE"/>
    <w:rsid w:val="0098000E"/>
    <w:rsid w:val="009C414E"/>
    <w:rsid w:val="009C5796"/>
    <w:rsid w:val="009C5AF0"/>
    <w:rsid w:val="009D6A70"/>
    <w:rsid w:val="009E6C65"/>
    <w:rsid w:val="009F5913"/>
    <w:rsid w:val="00A02661"/>
    <w:rsid w:val="00A15D4C"/>
    <w:rsid w:val="00A21D19"/>
    <w:rsid w:val="00A25FE2"/>
    <w:rsid w:val="00A3340D"/>
    <w:rsid w:val="00A3650C"/>
    <w:rsid w:val="00A72C1F"/>
    <w:rsid w:val="00A86D84"/>
    <w:rsid w:val="00A93687"/>
    <w:rsid w:val="00AA239A"/>
    <w:rsid w:val="00AB27BB"/>
    <w:rsid w:val="00AB6B9A"/>
    <w:rsid w:val="00AC7FBF"/>
    <w:rsid w:val="00AF1053"/>
    <w:rsid w:val="00B00E7A"/>
    <w:rsid w:val="00B01554"/>
    <w:rsid w:val="00B0669A"/>
    <w:rsid w:val="00B20AD7"/>
    <w:rsid w:val="00B2528C"/>
    <w:rsid w:val="00B31D76"/>
    <w:rsid w:val="00B84C31"/>
    <w:rsid w:val="00B86C9A"/>
    <w:rsid w:val="00B97E36"/>
    <w:rsid w:val="00BA6736"/>
    <w:rsid w:val="00BB7F5A"/>
    <w:rsid w:val="00BC39CC"/>
    <w:rsid w:val="00BC4680"/>
    <w:rsid w:val="00BD3DA0"/>
    <w:rsid w:val="00BE6090"/>
    <w:rsid w:val="00BE66CD"/>
    <w:rsid w:val="00BF715E"/>
    <w:rsid w:val="00C00283"/>
    <w:rsid w:val="00C05A5E"/>
    <w:rsid w:val="00C41169"/>
    <w:rsid w:val="00C44C6A"/>
    <w:rsid w:val="00C459A6"/>
    <w:rsid w:val="00C45D77"/>
    <w:rsid w:val="00C46C3C"/>
    <w:rsid w:val="00C65C97"/>
    <w:rsid w:val="00C756A1"/>
    <w:rsid w:val="00CC2241"/>
    <w:rsid w:val="00CC34ED"/>
    <w:rsid w:val="00CD3A96"/>
    <w:rsid w:val="00CE16BC"/>
    <w:rsid w:val="00CE1E49"/>
    <w:rsid w:val="00CE2AAC"/>
    <w:rsid w:val="00CF301C"/>
    <w:rsid w:val="00CF396B"/>
    <w:rsid w:val="00CF71FD"/>
    <w:rsid w:val="00D01FB5"/>
    <w:rsid w:val="00D05200"/>
    <w:rsid w:val="00D074DF"/>
    <w:rsid w:val="00D23E27"/>
    <w:rsid w:val="00D339DB"/>
    <w:rsid w:val="00D34552"/>
    <w:rsid w:val="00D432AE"/>
    <w:rsid w:val="00D610E3"/>
    <w:rsid w:val="00D64F14"/>
    <w:rsid w:val="00D66515"/>
    <w:rsid w:val="00DB6C65"/>
    <w:rsid w:val="00DC1C91"/>
    <w:rsid w:val="00DE4897"/>
    <w:rsid w:val="00DE703B"/>
    <w:rsid w:val="00E140AD"/>
    <w:rsid w:val="00E15BF0"/>
    <w:rsid w:val="00E32419"/>
    <w:rsid w:val="00E40884"/>
    <w:rsid w:val="00E460BD"/>
    <w:rsid w:val="00E476D4"/>
    <w:rsid w:val="00E531B7"/>
    <w:rsid w:val="00E539BF"/>
    <w:rsid w:val="00E766D9"/>
    <w:rsid w:val="00E87FB6"/>
    <w:rsid w:val="00EB12B9"/>
    <w:rsid w:val="00EE0CF6"/>
    <w:rsid w:val="00EE59AB"/>
    <w:rsid w:val="00EE64F7"/>
    <w:rsid w:val="00F0496C"/>
    <w:rsid w:val="00F12040"/>
    <w:rsid w:val="00F17B8D"/>
    <w:rsid w:val="00F23FAB"/>
    <w:rsid w:val="00F246FD"/>
    <w:rsid w:val="00F25607"/>
    <w:rsid w:val="00F27E4B"/>
    <w:rsid w:val="00F43437"/>
    <w:rsid w:val="00F438EB"/>
    <w:rsid w:val="00F61CF3"/>
    <w:rsid w:val="00F73377"/>
    <w:rsid w:val="00F744C9"/>
    <w:rsid w:val="00F8288F"/>
    <w:rsid w:val="00F87461"/>
    <w:rsid w:val="00FA48C2"/>
    <w:rsid w:val="00FB3EA7"/>
    <w:rsid w:val="00FC6176"/>
    <w:rsid w:val="00FC6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5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1"/>
    <w:qFormat/>
    <w:rsid w:val="0053058A"/>
    <w:pPr>
      <w:spacing w:before="240" w:after="60"/>
      <w:jc w:val="center"/>
      <w:outlineLvl w:val="0"/>
    </w:pPr>
    <w:rPr>
      <w:rFonts w:ascii="等线 Light" w:hAnsi="等线 Light"/>
      <w:b/>
      <w:bCs/>
      <w:sz w:val="32"/>
      <w:szCs w:val="32"/>
    </w:rPr>
  </w:style>
  <w:style w:type="character" w:customStyle="1" w:styleId="Char">
    <w:name w:val="标题 Char"/>
    <w:basedOn w:val="a0"/>
    <w:uiPriority w:val="10"/>
    <w:rsid w:val="0053058A"/>
    <w:rPr>
      <w:rFonts w:asciiTheme="majorHAnsi" w:hAnsiTheme="majorHAnsi" w:cstheme="majorBidi"/>
      <w:b/>
      <w:bCs/>
      <w:kern w:val="2"/>
      <w:sz w:val="32"/>
      <w:szCs w:val="32"/>
    </w:rPr>
  </w:style>
  <w:style w:type="character" w:customStyle="1" w:styleId="Char1">
    <w:name w:val="标题 Char1"/>
    <w:link w:val="a3"/>
    <w:rsid w:val="0053058A"/>
    <w:rPr>
      <w:rFonts w:ascii="等线 Light" w:hAnsi="等线 Light"/>
      <w:b/>
      <w:bCs/>
      <w:kern w:val="2"/>
      <w:sz w:val="32"/>
      <w:szCs w:val="32"/>
    </w:rPr>
  </w:style>
  <w:style w:type="character" w:styleId="a4">
    <w:name w:val="Strong"/>
    <w:qFormat/>
    <w:rsid w:val="0053058A"/>
    <w:rPr>
      <w:b/>
      <w:bCs/>
    </w:rPr>
  </w:style>
  <w:style w:type="paragraph" w:styleId="a5">
    <w:name w:val="No Spacing"/>
    <w:uiPriority w:val="1"/>
    <w:qFormat/>
    <w:rsid w:val="0053058A"/>
    <w:pPr>
      <w:widowControl w:val="0"/>
      <w:jc w:val="both"/>
    </w:pPr>
    <w:rPr>
      <w:kern w:val="2"/>
      <w:sz w:val="21"/>
      <w:szCs w:val="24"/>
    </w:rPr>
  </w:style>
  <w:style w:type="paragraph" w:styleId="a6">
    <w:name w:val="header"/>
    <w:basedOn w:val="a"/>
    <w:link w:val="Char0"/>
    <w:uiPriority w:val="99"/>
    <w:unhideWhenUsed/>
    <w:rsid w:val="00C002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00283"/>
    <w:rPr>
      <w:kern w:val="2"/>
      <w:sz w:val="18"/>
      <w:szCs w:val="18"/>
    </w:rPr>
  </w:style>
  <w:style w:type="paragraph" w:styleId="a7">
    <w:name w:val="footer"/>
    <w:basedOn w:val="a"/>
    <w:link w:val="Char2"/>
    <w:uiPriority w:val="99"/>
    <w:unhideWhenUsed/>
    <w:rsid w:val="00C00283"/>
    <w:pPr>
      <w:tabs>
        <w:tab w:val="center" w:pos="4153"/>
        <w:tab w:val="right" w:pos="8306"/>
      </w:tabs>
      <w:snapToGrid w:val="0"/>
      <w:jc w:val="left"/>
    </w:pPr>
    <w:rPr>
      <w:sz w:val="18"/>
      <w:szCs w:val="18"/>
    </w:rPr>
  </w:style>
  <w:style w:type="character" w:customStyle="1" w:styleId="Char2">
    <w:name w:val="页脚 Char"/>
    <w:basedOn w:val="a0"/>
    <w:link w:val="a7"/>
    <w:uiPriority w:val="99"/>
    <w:rsid w:val="00C0028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5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1"/>
    <w:qFormat/>
    <w:rsid w:val="0053058A"/>
    <w:pPr>
      <w:spacing w:before="240" w:after="60"/>
      <w:jc w:val="center"/>
      <w:outlineLvl w:val="0"/>
    </w:pPr>
    <w:rPr>
      <w:rFonts w:ascii="等线 Light" w:hAnsi="等线 Light"/>
      <w:b/>
      <w:bCs/>
      <w:sz w:val="32"/>
      <w:szCs w:val="32"/>
    </w:rPr>
  </w:style>
  <w:style w:type="character" w:customStyle="1" w:styleId="Char">
    <w:name w:val="标题 Char"/>
    <w:basedOn w:val="a0"/>
    <w:uiPriority w:val="10"/>
    <w:rsid w:val="0053058A"/>
    <w:rPr>
      <w:rFonts w:asciiTheme="majorHAnsi" w:hAnsiTheme="majorHAnsi" w:cstheme="majorBidi"/>
      <w:b/>
      <w:bCs/>
      <w:kern w:val="2"/>
      <w:sz w:val="32"/>
      <w:szCs w:val="32"/>
    </w:rPr>
  </w:style>
  <w:style w:type="character" w:customStyle="1" w:styleId="Char1">
    <w:name w:val="标题 Char1"/>
    <w:link w:val="a3"/>
    <w:rsid w:val="0053058A"/>
    <w:rPr>
      <w:rFonts w:ascii="等线 Light" w:hAnsi="等线 Light"/>
      <w:b/>
      <w:bCs/>
      <w:kern w:val="2"/>
      <w:sz w:val="32"/>
      <w:szCs w:val="32"/>
    </w:rPr>
  </w:style>
  <w:style w:type="character" w:styleId="a4">
    <w:name w:val="Strong"/>
    <w:qFormat/>
    <w:rsid w:val="0053058A"/>
    <w:rPr>
      <w:b/>
      <w:bCs/>
    </w:rPr>
  </w:style>
  <w:style w:type="paragraph" w:styleId="a5">
    <w:name w:val="No Spacing"/>
    <w:uiPriority w:val="1"/>
    <w:qFormat/>
    <w:rsid w:val="0053058A"/>
    <w:pPr>
      <w:widowControl w:val="0"/>
      <w:jc w:val="both"/>
    </w:pPr>
    <w:rPr>
      <w:kern w:val="2"/>
      <w:sz w:val="21"/>
      <w:szCs w:val="24"/>
    </w:rPr>
  </w:style>
  <w:style w:type="paragraph" w:styleId="a6">
    <w:name w:val="header"/>
    <w:basedOn w:val="a"/>
    <w:link w:val="Char0"/>
    <w:uiPriority w:val="99"/>
    <w:unhideWhenUsed/>
    <w:rsid w:val="00C002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00283"/>
    <w:rPr>
      <w:kern w:val="2"/>
      <w:sz w:val="18"/>
      <w:szCs w:val="18"/>
    </w:rPr>
  </w:style>
  <w:style w:type="paragraph" w:styleId="a7">
    <w:name w:val="footer"/>
    <w:basedOn w:val="a"/>
    <w:link w:val="Char2"/>
    <w:uiPriority w:val="99"/>
    <w:unhideWhenUsed/>
    <w:rsid w:val="00C00283"/>
    <w:pPr>
      <w:tabs>
        <w:tab w:val="center" w:pos="4153"/>
        <w:tab w:val="right" w:pos="8306"/>
      </w:tabs>
      <w:snapToGrid w:val="0"/>
      <w:jc w:val="left"/>
    </w:pPr>
    <w:rPr>
      <w:sz w:val="18"/>
      <w:szCs w:val="18"/>
    </w:rPr>
  </w:style>
  <w:style w:type="character" w:customStyle="1" w:styleId="Char2">
    <w:name w:val="页脚 Char"/>
    <w:basedOn w:val="a0"/>
    <w:link w:val="a7"/>
    <w:uiPriority w:val="99"/>
    <w:rsid w:val="00C0028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76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于洁</dc:creator>
  <cp:keywords/>
  <dc:description/>
  <cp:lastModifiedBy>于洁</cp:lastModifiedBy>
  <cp:revision>2</cp:revision>
  <dcterms:created xsi:type="dcterms:W3CDTF">2020-04-07T02:49:00Z</dcterms:created>
  <dcterms:modified xsi:type="dcterms:W3CDTF">2020-04-07T02:50:00Z</dcterms:modified>
</cp:coreProperties>
</file>